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AE" w:rsidRPr="00BA1AAE" w:rsidRDefault="00A47D7E" w:rsidP="00BA1AAE">
      <w:pPr>
        <w:jc w:val="center"/>
        <w:rPr>
          <w:rFonts w:ascii="Times New Roman" w:hAnsi="Times New Roman" w:cs="Times New Roman"/>
          <w:b/>
          <w:sz w:val="24"/>
          <w:szCs w:val="24"/>
        </w:rPr>
      </w:pPr>
      <w:r w:rsidRPr="00BA1AAE">
        <w:rPr>
          <w:rFonts w:ascii="Times New Roman" w:hAnsi="Times New Roman" w:cs="Times New Roman"/>
          <w:b/>
          <w:sz w:val="24"/>
          <w:szCs w:val="24"/>
        </w:rPr>
        <w:t xml:space="preserve">Newater Technology, Inc. Entering Into </w:t>
      </w:r>
      <w:proofErr w:type="gramStart"/>
      <w:r w:rsidRPr="00BA1AAE">
        <w:rPr>
          <w:rFonts w:ascii="Times New Roman" w:hAnsi="Times New Roman" w:cs="Times New Roman"/>
          <w:b/>
          <w:sz w:val="24"/>
          <w:szCs w:val="24"/>
        </w:rPr>
        <w:t>A</w:t>
      </w:r>
      <w:proofErr w:type="gramEnd"/>
      <w:r w:rsidRPr="00BA1AAE">
        <w:rPr>
          <w:rFonts w:ascii="Times New Roman" w:hAnsi="Times New Roman" w:cs="Times New Roman"/>
          <w:b/>
          <w:sz w:val="24"/>
          <w:szCs w:val="24"/>
        </w:rPr>
        <w:t xml:space="preserve"> Merger Agreement</w:t>
      </w:r>
    </w:p>
    <w:p w:rsidR="00BA1AAE" w:rsidRPr="00BA1AAE" w:rsidRDefault="00A47D7E" w:rsidP="00BA1AAE">
      <w:pPr>
        <w:jc w:val="center"/>
        <w:rPr>
          <w:rFonts w:ascii="Times New Roman" w:hAnsi="Times New Roman" w:cs="Times New Roman"/>
          <w:b/>
          <w:sz w:val="24"/>
          <w:szCs w:val="24"/>
        </w:rPr>
      </w:pPr>
      <w:r w:rsidRPr="00BA1AAE">
        <w:rPr>
          <w:rFonts w:ascii="Times New Roman" w:hAnsi="Times New Roman" w:cs="Times New Roman"/>
          <w:b/>
          <w:sz w:val="24"/>
          <w:szCs w:val="24"/>
        </w:rPr>
        <w:t xml:space="preserve">For A “Going Private” Transaction </w:t>
      </w:r>
    </w:p>
    <w:p w:rsidR="0057717F" w:rsidRPr="00D54ABE" w:rsidRDefault="00A47D7E" w:rsidP="005A4C73">
      <w:pPr>
        <w:jc w:val="both"/>
        <w:rPr>
          <w:rFonts w:ascii="Times New Roman" w:hAnsi="Times New Roman" w:cs="Times New Roman"/>
          <w:sz w:val="24"/>
          <w:szCs w:val="24"/>
        </w:rPr>
      </w:pPr>
      <w:r w:rsidRPr="005A4C73">
        <w:rPr>
          <w:rFonts w:ascii="Times New Roman" w:hAnsi="Times New Roman" w:cs="Times New Roman"/>
          <w:sz w:val="24"/>
          <w:szCs w:val="24"/>
        </w:rPr>
        <w:t xml:space="preserve">YANTAI, China, </w:t>
      </w:r>
      <w:r w:rsidR="003661B2" w:rsidRPr="00D54ABE">
        <w:rPr>
          <w:rFonts w:ascii="Times New Roman" w:hAnsi="Times New Roman" w:cs="Times New Roman" w:hint="eastAsia"/>
          <w:sz w:val="24"/>
          <w:szCs w:val="24"/>
        </w:rPr>
        <w:t xml:space="preserve">September </w:t>
      </w:r>
      <w:r w:rsidR="00F6709C" w:rsidRPr="00D54ABE">
        <w:rPr>
          <w:rFonts w:ascii="Times New Roman" w:hAnsi="Times New Roman" w:cs="Times New Roman" w:hint="eastAsia"/>
          <w:sz w:val="24"/>
          <w:szCs w:val="24"/>
        </w:rPr>
        <w:t>29</w:t>
      </w:r>
      <w:r w:rsidR="003661B2" w:rsidRPr="00D54ABE">
        <w:rPr>
          <w:rFonts w:ascii="Times New Roman" w:hAnsi="Times New Roman" w:cs="Times New Roman" w:hint="eastAsia"/>
          <w:sz w:val="24"/>
          <w:szCs w:val="24"/>
        </w:rPr>
        <w:t>, 2020</w:t>
      </w:r>
      <w:r w:rsidRPr="00D54ABE">
        <w:rPr>
          <w:rFonts w:ascii="Times New Roman" w:hAnsi="Times New Roman" w:cs="Times New Roman"/>
          <w:sz w:val="24"/>
          <w:szCs w:val="24"/>
        </w:rPr>
        <w:t xml:space="preserve"> /PRNewswire/ -- </w:t>
      </w:r>
      <w:proofErr w:type="spellStart"/>
      <w:r w:rsidRPr="00D54ABE">
        <w:rPr>
          <w:rFonts w:ascii="Times New Roman" w:hAnsi="Times New Roman" w:cs="Times New Roman"/>
          <w:sz w:val="24"/>
          <w:szCs w:val="24"/>
        </w:rPr>
        <w:t>Newater</w:t>
      </w:r>
      <w:proofErr w:type="spellEnd"/>
      <w:r w:rsidRPr="00D54ABE">
        <w:rPr>
          <w:rFonts w:ascii="Times New Roman" w:hAnsi="Times New Roman" w:cs="Times New Roman"/>
          <w:sz w:val="24"/>
          <w:szCs w:val="24"/>
        </w:rPr>
        <w:t xml:space="preserve"> Technology, Inc. (NASDAQ: NEWA) (“</w:t>
      </w:r>
      <w:r w:rsidRPr="00D54ABE">
        <w:rPr>
          <w:rFonts w:ascii="Times New Roman" w:hAnsi="Times New Roman" w:cs="Times New Roman"/>
          <w:b/>
          <w:bCs/>
          <w:sz w:val="24"/>
          <w:szCs w:val="24"/>
        </w:rPr>
        <w:t>NEWA</w:t>
      </w:r>
      <w:r w:rsidRPr="00D54ABE">
        <w:rPr>
          <w:rFonts w:ascii="Times New Roman" w:hAnsi="Times New Roman" w:cs="Times New Roman"/>
          <w:sz w:val="24"/>
          <w:szCs w:val="24"/>
        </w:rPr>
        <w:t>”, or the “</w:t>
      </w:r>
      <w:r w:rsidRPr="00D54ABE">
        <w:rPr>
          <w:rFonts w:ascii="Times New Roman" w:hAnsi="Times New Roman" w:cs="Times New Roman"/>
          <w:b/>
          <w:bCs/>
          <w:sz w:val="24"/>
          <w:szCs w:val="24"/>
        </w:rPr>
        <w:t>Company</w:t>
      </w:r>
      <w:r w:rsidRPr="00D54ABE">
        <w:rPr>
          <w:rFonts w:ascii="Times New Roman" w:hAnsi="Times New Roman" w:cs="Times New Roman"/>
          <w:sz w:val="24"/>
          <w:szCs w:val="24"/>
        </w:rPr>
        <w:t>”), a developer, service provider and manufacturer of membrane filtration products and related hardware and engineered systems that are used in the treatment, recycling and discharge of wastewater, today announced that it has entered into a definitive Agreement and Plan of Merger (the “</w:t>
      </w:r>
      <w:r w:rsidRPr="00D54ABE">
        <w:rPr>
          <w:rFonts w:ascii="Times New Roman" w:hAnsi="Times New Roman" w:cs="Times New Roman"/>
          <w:b/>
          <w:bCs/>
          <w:sz w:val="24"/>
          <w:szCs w:val="24"/>
        </w:rPr>
        <w:t>Merger Agreement</w:t>
      </w:r>
      <w:r w:rsidRPr="00D54ABE">
        <w:rPr>
          <w:rFonts w:ascii="Times New Roman" w:hAnsi="Times New Roman" w:cs="Times New Roman"/>
          <w:sz w:val="24"/>
          <w:szCs w:val="24"/>
        </w:rPr>
        <w:t xml:space="preserve">”) with </w:t>
      </w:r>
      <w:r w:rsidR="009C3B24" w:rsidRPr="00D54ABE">
        <w:rPr>
          <w:rFonts w:ascii="Times New Roman" w:hAnsi="Times New Roman" w:cs="Times New Roman"/>
          <w:sz w:val="24"/>
          <w:szCs w:val="24"/>
        </w:rPr>
        <w:t>Crouching Tiger Holding Limited</w:t>
      </w:r>
      <w:r w:rsidRPr="00D54ABE">
        <w:rPr>
          <w:rFonts w:ascii="Times New Roman" w:hAnsi="Times New Roman" w:cs="Times New Roman"/>
          <w:sz w:val="24"/>
          <w:szCs w:val="24"/>
        </w:rPr>
        <w:t xml:space="preserve">, </w:t>
      </w:r>
      <w:r w:rsidR="00272F04" w:rsidRPr="00D54ABE">
        <w:rPr>
          <w:rFonts w:ascii="Times New Roman" w:hAnsi="Times New Roman" w:cs="Times New Roman"/>
          <w:sz w:val="24"/>
          <w:szCs w:val="24"/>
        </w:rPr>
        <w:t>an exempted company with limited liability incorporated under the laws of the Cayman Islands</w:t>
      </w:r>
      <w:r w:rsidRPr="00D54ABE">
        <w:rPr>
          <w:rFonts w:ascii="Times New Roman" w:hAnsi="Times New Roman" w:cs="Times New Roman"/>
          <w:sz w:val="24"/>
          <w:szCs w:val="24"/>
        </w:rPr>
        <w:t xml:space="preserve"> (“</w:t>
      </w:r>
      <w:r w:rsidRPr="00D54ABE">
        <w:rPr>
          <w:rFonts w:ascii="Times New Roman" w:hAnsi="Times New Roman" w:cs="Times New Roman"/>
          <w:b/>
          <w:bCs/>
          <w:sz w:val="24"/>
          <w:szCs w:val="24"/>
        </w:rPr>
        <w:t>Parent</w:t>
      </w:r>
      <w:r w:rsidRPr="00D54ABE">
        <w:rPr>
          <w:rFonts w:ascii="Times New Roman" w:hAnsi="Times New Roman" w:cs="Times New Roman"/>
          <w:sz w:val="24"/>
          <w:szCs w:val="24"/>
        </w:rPr>
        <w:t xml:space="preserve">”), and </w:t>
      </w:r>
      <w:r w:rsidR="009C3B24" w:rsidRPr="00D54ABE">
        <w:rPr>
          <w:rFonts w:ascii="Times New Roman" w:hAnsi="Times New Roman" w:cs="Times New Roman"/>
          <w:sz w:val="24"/>
          <w:szCs w:val="24"/>
        </w:rPr>
        <w:t>Green Forest Holding Limited</w:t>
      </w:r>
      <w:r w:rsidRPr="00D54ABE">
        <w:rPr>
          <w:rFonts w:ascii="Times New Roman" w:hAnsi="Times New Roman" w:cs="Times New Roman"/>
          <w:sz w:val="24"/>
          <w:szCs w:val="24"/>
        </w:rPr>
        <w:t xml:space="preserve">, </w:t>
      </w:r>
      <w:r w:rsidR="00272F04" w:rsidRPr="00D54ABE">
        <w:rPr>
          <w:rFonts w:ascii="Times New Roman" w:hAnsi="Times New Roman" w:cs="Times New Roman"/>
          <w:sz w:val="24"/>
          <w:szCs w:val="24"/>
        </w:rPr>
        <w:t>a company with limited liability incorporated under the laws of the British Virgin Islands</w:t>
      </w:r>
      <w:r w:rsidRPr="00D54ABE">
        <w:rPr>
          <w:rFonts w:ascii="Times New Roman" w:hAnsi="Times New Roman" w:cs="Times New Roman"/>
          <w:sz w:val="24"/>
          <w:szCs w:val="24"/>
        </w:rPr>
        <w:t xml:space="preserve"> and a wholly-owned subsidiary of Parent (“</w:t>
      </w:r>
      <w:r w:rsidRPr="00D54ABE">
        <w:rPr>
          <w:rFonts w:ascii="Times New Roman" w:hAnsi="Times New Roman" w:cs="Times New Roman"/>
          <w:b/>
          <w:bCs/>
          <w:sz w:val="24"/>
          <w:szCs w:val="24"/>
        </w:rPr>
        <w:t>Merger Sub</w:t>
      </w:r>
      <w:r w:rsidRPr="00D54ABE">
        <w:rPr>
          <w:rFonts w:ascii="Times New Roman" w:hAnsi="Times New Roman" w:cs="Times New Roman"/>
          <w:sz w:val="24"/>
          <w:szCs w:val="24"/>
        </w:rPr>
        <w:t>”), pursuant to which Parent will acquire the Company for US$3.</w:t>
      </w:r>
      <w:r w:rsidR="00457691" w:rsidRPr="00D54ABE">
        <w:rPr>
          <w:rFonts w:ascii="Times New Roman" w:hAnsi="Times New Roman" w:cs="Times New Roman" w:hint="eastAsia"/>
          <w:sz w:val="24"/>
          <w:szCs w:val="24"/>
        </w:rPr>
        <w:t>65</w:t>
      </w:r>
      <w:r w:rsidRPr="00D54ABE">
        <w:rPr>
          <w:rFonts w:ascii="Times New Roman" w:hAnsi="Times New Roman" w:cs="Times New Roman"/>
          <w:sz w:val="24"/>
          <w:szCs w:val="24"/>
        </w:rPr>
        <w:t xml:space="preserve"> per common share</w:t>
      </w:r>
      <w:r w:rsidR="000F1AD1" w:rsidRPr="00D54ABE">
        <w:rPr>
          <w:rFonts w:ascii="Times New Roman" w:hAnsi="Times New Roman" w:cs="Times New Roman" w:hint="eastAsia"/>
          <w:sz w:val="24"/>
          <w:szCs w:val="24"/>
        </w:rPr>
        <w:t xml:space="preserve"> </w:t>
      </w:r>
      <w:r w:rsidRPr="00D54ABE">
        <w:rPr>
          <w:rFonts w:ascii="Times New Roman" w:hAnsi="Times New Roman" w:cs="Times New Roman"/>
          <w:sz w:val="24"/>
          <w:szCs w:val="24"/>
        </w:rPr>
        <w:t>of the Company.</w:t>
      </w:r>
    </w:p>
    <w:p w:rsidR="0057717F" w:rsidRPr="005A4C73" w:rsidRDefault="00A47D7E" w:rsidP="005A4C73">
      <w:pPr>
        <w:jc w:val="both"/>
        <w:rPr>
          <w:rFonts w:ascii="Times New Roman" w:hAnsi="Times New Roman" w:cs="Times New Roman"/>
          <w:sz w:val="24"/>
          <w:szCs w:val="24"/>
        </w:rPr>
      </w:pPr>
      <w:r w:rsidRPr="00D54ABE">
        <w:rPr>
          <w:rFonts w:ascii="Times New Roman" w:hAnsi="Times New Roman" w:cs="Times New Roman"/>
          <w:sz w:val="24"/>
          <w:szCs w:val="24"/>
        </w:rPr>
        <w:t>Subject to the terms and conditions of the Merger Agreement, at the effective time of the merger (the “</w:t>
      </w:r>
      <w:r w:rsidRPr="00D54ABE">
        <w:rPr>
          <w:rFonts w:ascii="Times New Roman" w:hAnsi="Times New Roman" w:cs="Times New Roman"/>
          <w:b/>
          <w:bCs/>
          <w:sz w:val="24"/>
          <w:szCs w:val="24"/>
        </w:rPr>
        <w:t>Effective Time</w:t>
      </w:r>
      <w:r w:rsidRPr="00D54ABE">
        <w:rPr>
          <w:rFonts w:ascii="Times New Roman" w:hAnsi="Times New Roman" w:cs="Times New Roman"/>
          <w:sz w:val="24"/>
          <w:szCs w:val="24"/>
        </w:rPr>
        <w:t>”), Merger Sub will merge with and into the Company, with the Company continuing as the surviving corporation and becoming a wholly-owned subsidiary of Parent (the “</w:t>
      </w:r>
      <w:r w:rsidRPr="00D54ABE">
        <w:rPr>
          <w:rFonts w:ascii="Times New Roman" w:hAnsi="Times New Roman" w:cs="Times New Roman"/>
          <w:b/>
          <w:bCs/>
          <w:sz w:val="24"/>
          <w:szCs w:val="24"/>
        </w:rPr>
        <w:t>Merger</w:t>
      </w:r>
      <w:r w:rsidRPr="00D54ABE">
        <w:rPr>
          <w:rFonts w:ascii="Times New Roman" w:hAnsi="Times New Roman" w:cs="Times New Roman"/>
          <w:sz w:val="24"/>
          <w:szCs w:val="24"/>
        </w:rPr>
        <w:t>”).  At the Effective Time, each of the Company</w:t>
      </w:r>
      <w:r w:rsidR="004F1EB1" w:rsidRPr="00D54ABE">
        <w:rPr>
          <w:rFonts w:ascii="Times New Roman" w:hAnsi="Times New Roman" w:cs="Times New Roman"/>
          <w:sz w:val="24"/>
          <w:szCs w:val="24"/>
        </w:rPr>
        <w:t>’</w:t>
      </w:r>
      <w:r w:rsidRPr="00D54ABE">
        <w:rPr>
          <w:rFonts w:ascii="Times New Roman" w:hAnsi="Times New Roman" w:cs="Times New Roman"/>
          <w:sz w:val="24"/>
          <w:szCs w:val="24"/>
        </w:rPr>
        <w:t xml:space="preserve">s </w:t>
      </w:r>
      <w:r w:rsidR="007E46A6" w:rsidRPr="00D54ABE">
        <w:rPr>
          <w:rFonts w:ascii="Times New Roman" w:hAnsi="Times New Roman" w:cs="Times New Roman"/>
          <w:sz w:val="24"/>
          <w:szCs w:val="24"/>
        </w:rPr>
        <w:t>C</w:t>
      </w:r>
      <w:r w:rsidR="000F1AD1" w:rsidRPr="00D54ABE">
        <w:rPr>
          <w:rFonts w:ascii="Times New Roman" w:hAnsi="Times New Roman" w:cs="Times New Roman" w:hint="eastAsia"/>
          <w:sz w:val="24"/>
          <w:szCs w:val="24"/>
        </w:rPr>
        <w:t xml:space="preserve">ommon </w:t>
      </w:r>
      <w:r w:rsidR="007E46A6" w:rsidRPr="00D54ABE">
        <w:rPr>
          <w:rFonts w:ascii="Times New Roman" w:hAnsi="Times New Roman" w:cs="Times New Roman"/>
          <w:sz w:val="24"/>
          <w:szCs w:val="24"/>
        </w:rPr>
        <w:t>S</w:t>
      </w:r>
      <w:r w:rsidR="00A75988" w:rsidRPr="00D54ABE">
        <w:rPr>
          <w:rFonts w:ascii="Times New Roman" w:hAnsi="Times New Roman" w:cs="Times New Roman"/>
          <w:sz w:val="24"/>
          <w:szCs w:val="24"/>
        </w:rPr>
        <w:t>hare</w:t>
      </w:r>
      <w:r w:rsidRPr="00D54ABE">
        <w:rPr>
          <w:rFonts w:ascii="Times New Roman" w:hAnsi="Times New Roman" w:cs="Times New Roman"/>
          <w:sz w:val="24"/>
          <w:szCs w:val="24"/>
        </w:rPr>
        <w:t>s</w:t>
      </w:r>
      <w:r w:rsidR="000F1AD1" w:rsidRPr="00D54ABE">
        <w:rPr>
          <w:rFonts w:ascii="Times New Roman" w:hAnsi="Times New Roman" w:cs="Times New Roman" w:hint="eastAsia"/>
          <w:sz w:val="24"/>
          <w:szCs w:val="24"/>
        </w:rPr>
        <w:t xml:space="preserve">, </w:t>
      </w:r>
      <w:r w:rsidR="000F1AD1" w:rsidRPr="00D54ABE">
        <w:rPr>
          <w:rFonts w:ascii="Times New Roman" w:hAnsi="Times New Roman" w:cs="Times New Roman"/>
          <w:sz w:val="24"/>
          <w:szCs w:val="24"/>
        </w:rPr>
        <w:t>par value US$0.001 per share (the “</w:t>
      </w:r>
      <w:r w:rsidR="000F1AD1" w:rsidRPr="00D54ABE">
        <w:rPr>
          <w:rFonts w:ascii="Times New Roman" w:hAnsi="Times New Roman" w:cs="Times New Roman"/>
          <w:b/>
          <w:bCs/>
          <w:sz w:val="24"/>
          <w:szCs w:val="24"/>
        </w:rPr>
        <w:t>Shares</w:t>
      </w:r>
      <w:r w:rsidR="000F1AD1" w:rsidRPr="00D54ABE">
        <w:rPr>
          <w:rFonts w:ascii="Times New Roman" w:hAnsi="Times New Roman" w:cs="Times New Roman"/>
          <w:sz w:val="24"/>
          <w:szCs w:val="24"/>
        </w:rPr>
        <w:t>”)</w:t>
      </w:r>
      <w:r w:rsidR="000F1AD1" w:rsidRPr="00D54ABE">
        <w:rPr>
          <w:rFonts w:ascii="Times New Roman" w:hAnsi="Times New Roman" w:cs="Times New Roman" w:hint="eastAsia"/>
          <w:sz w:val="24"/>
          <w:szCs w:val="24"/>
        </w:rPr>
        <w:t>,</w:t>
      </w:r>
      <w:r w:rsidRPr="00D54ABE">
        <w:rPr>
          <w:rFonts w:ascii="Times New Roman" w:hAnsi="Times New Roman" w:cs="Times New Roman"/>
          <w:sz w:val="24"/>
          <w:szCs w:val="24"/>
        </w:rPr>
        <w:t xml:space="preserve"> issued and outstanding immediately prior to the Effective Time will be cancelled in exchange for the right to receive </w:t>
      </w:r>
      <w:r w:rsidR="00F46AB9" w:rsidRPr="00D54ABE">
        <w:rPr>
          <w:rFonts w:ascii="Times New Roman" w:hAnsi="Times New Roman" w:cs="Times New Roman"/>
          <w:sz w:val="24"/>
          <w:szCs w:val="24"/>
        </w:rPr>
        <w:t>US$3.</w:t>
      </w:r>
      <w:r w:rsidR="00457691" w:rsidRPr="00D54ABE">
        <w:rPr>
          <w:rFonts w:ascii="Times New Roman" w:hAnsi="Times New Roman" w:cs="Times New Roman" w:hint="eastAsia"/>
          <w:sz w:val="24"/>
          <w:szCs w:val="24"/>
        </w:rPr>
        <w:t>65</w:t>
      </w:r>
      <w:r w:rsidR="00F46AB9" w:rsidRPr="00D54ABE">
        <w:rPr>
          <w:rFonts w:ascii="Times New Roman" w:hAnsi="Times New Roman" w:cs="Times New Roman"/>
          <w:sz w:val="24"/>
          <w:szCs w:val="24"/>
        </w:rPr>
        <w:t xml:space="preserve"> </w:t>
      </w:r>
      <w:r w:rsidRPr="00D54ABE">
        <w:rPr>
          <w:rFonts w:ascii="Times New Roman" w:hAnsi="Times New Roman" w:cs="Times New Roman"/>
          <w:sz w:val="24"/>
          <w:szCs w:val="24"/>
        </w:rPr>
        <w:t>per share in</w:t>
      </w:r>
      <w:r w:rsidRPr="005A4C73">
        <w:rPr>
          <w:rFonts w:ascii="Times New Roman" w:hAnsi="Times New Roman" w:cs="Times New Roman"/>
          <w:sz w:val="24"/>
          <w:szCs w:val="24"/>
        </w:rPr>
        <w:t xml:space="preserve"> cash and without interest, except </w:t>
      </w:r>
      <w:r w:rsidRPr="009C3B24">
        <w:rPr>
          <w:rFonts w:ascii="Times New Roman" w:hAnsi="Times New Roman" w:cs="Times New Roman"/>
          <w:sz w:val="24"/>
          <w:szCs w:val="24"/>
        </w:rPr>
        <w:t>for the excluded shares (the “</w:t>
      </w:r>
      <w:r w:rsidRPr="00711F63">
        <w:rPr>
          <w:rFonts w:ascii="Times New Roman" w:hAnsi="Times New Roman" w:cs="Times New Roman"/>
          <w:b/>
          <w:bCs/>
          <w:sz w:val="24"/>
          <w:szCs w:val="24"/>
        </w:rPr>
        <w:t>Excluded Shares</w:t>
      </w:r>
      <w:r w:rsidRPr="009C3B24">
        <w:rPr>
          <w:rFonts w:ascii="Times New Roman" w:hAnsi="Times New Roman" w:cs="Times New Roman"/>
          <w:sz w:val="24"/>
          <w:szCs w:val="24"/>
        </w:rPr>
        <w:t xml:space="preserve">”), which include (i) </w:t>
      </w:r>
      <w:r w:rsidR="00A75988" w:rsidRPr="009C3B24">
        <w:rPr>
          <w:rFonts w:ascii="Times New Roman" w:hAnsi="Times New Roman" w:cs="Times New Roman"/>
          <w:sz w:val="24"/>
          <w:szCs w:val="24"/>
        </w:rPr>
        <w:t>Share</w:t>
      </w:r>
      <w:r w:rsidRPr="009C3B24">
        <w:rPr>
          <w:rFonts w:ascii="Times New Roman" w:hAnsi="Times New Roman" w:cs="Times New Roman"/>
          <w:sz w:val="24"/>
          <w:szCs w:val="24"/>
        </w:rPr>
        <w:t xml:space="preserve">s beneficially owned by </w:t>
      </w:r>
      <w:r w:rsidR="009C3B24" w:rsidRPr="009C3B24">
        <w:rPr>
          <w:rFonts w:ascii="Times New Roman" w:hAnsi="Times New Roman" w:cs="Times New Roman"/>
          <w:sz w:val="24"/>
          <w:szCs w:val="24"/>
        </w:rPr>
        <w:t>Mr. Li</w:t>
      </w:r>
      <w:r w:rsidR="009C3B24" w:rsidRPr="009C3B24">
        <w:rPr>
          <w:rFonts w:ascii="Times New Roman" w:hAnsi="Times New Roman" w:cs="Times New Roman" w:hint="eastAsia"/>
          <w:sz w:val="24"/>
          <w:szCs w:val="24"/>
        </w:rPr>
        <w:t xml:space="preserve"> </w:t>
      </w:r>
      <w:r w:rsidR="00C92678" w:rsidRPr="009C3B24">
        <w:rPr>
          <w:rFonts w:ascii="Times New Roman" w:hAnsi="Times New Roman" w:cs="Times New Roman"/>
          <w:sz w:val="24"/>
          <w:szCs w:val="24"/>
        </w:rPr>
        <w:t>Yuebiao</w:t>
      </w:r>
      <w:r w:rsidR="00C92678">
        <w:rPr>
          <w:rFonts w:ascii="Times New Roman" w:hAnsi="Times New Roman" w:cs="Times New Roman"/>
          <w:sz w:val="24"/>
          <w:szCs w:val="24"/>
        </w:rPr>
        <w:t xml:space="preserve"> </w:t>
      </w:r>
      <w:r w:rsidR="009C3B24" w:rsidRPr="009C3B24">
        <w:rPr>
          <w:rFonts w:ascii="Times New Roman" w:hAnsi="Times New Roman" w:cs="Times New Roman" w:hint="eastAsia"/>
          <w:sz w:val="24"/>
          <w:szCs w:val="24"/>
        </w:rPr>
        <w:t xml:space="preserve">(through </w:t>
      </w:r>
      <w:r w:rsidR="00F46AB9" w:rsidRPr="009C3B24">
        <w:rPr>
          <w:rFonts w:ascii="Times New Roman" w:hAnsi="Times New Roman" w:cs="Times New Roman"/>
          <w:sz w:val="24"/>
          <w:szCs w:val="24"/>
        </w:rPr>
        <w:t>his affiliated company, Tigerwind Group Limited</w:t>
      </w:r>
      <w:r w:rsidR="009C3B24" w:rsidRPr="009C3B24">
        <w:rPr>
          <w:rFonts w:ascii="Times New Roman" w:hAnsi="Times New Roman" w:cs="Times New Roman" w:hint="eastAsia"/>
          <w:sz w:val="24"/>
          <w:szCs w:val="24"/>
        </w:rPr>
        <w:t>)</w:t>
      </w:r>
      <w:r w:rsidR="00F46AB9" w:rsidRPr="009C3B24">
        <w:rPr>
          <w:rFonts w:ascii="Times New Roman" w:hAnsi="Times New Roman" w:cs="Times New Roman"/>
          <w:sz w:val="24"/>
          <w:szCs w:val="24"/>
        </w:rPr>
        <w:t>, Ms.</w:t>
      </w:r>
      <w:r w:rsidR="00C92678">
        <w:rPr>
          <w:rFonts w:ascii="Times New Roman" w:hAnsi="Times New Roman" w:cs="Times New Roman"/>
          <w:sz w:val="24"/>
          <w:szCs w:val="24"/>
        </w:rPr>
        <w:t xml:space="preserve"> </w:t>
      </w:r>
      <w:r w:rsidR="00F46AB9" w:rsidRPr="009C3B24">
        <w:rPr>
          <w:rFonts w:ascii="Times New Roman" w:hAnsi="Times New Roman" w:cs="Times New Roman"/>
          <w:sz w:val="24"/>
          <w:szCs w:val="24"/>
        </w:rPr>
        <w:t>Zhang</w:t>
      </w:r>
      <w:r w:rsidR="00C92678">
        <w:rPr>
          <w:rFonts w:ascii="Times New Roman" w:hAnsi="Times New Roman" w:cs="Times New Roman"/>
          <w:sz w:val="24"/>
          <w:szCs w:val="24"/>
        </w:rPr>
        <w:t xml:space="preserve"> </w:t>
      </w:r>
      <w:r w:rsidR="00C92678" w:rsidRPr="009C3B24">
        <w:rPr>
          <w:rFonts w:ascii="Times New Roman" w:hAnsi="Times New Roman" w:cs="Times New Roman"/>
          <w:sz w:val="24"/>
          <w:szCs w:val="24"/>
        </w:rPr>
        <w:t>Zhuo</w:t>
      </w:r>
      <w:r w:rsidR="009C3B24" w:rsidRPr="009C3B24">
        <w:rPr>
          <w:rFonts w:ascii="Times New Roman" w:hAnsi="Times New Roman" w:cs="Times New Roman" w:hint="eastAsia"/>
          <w:sz w:val="24"/>
          <w:szCs w:val="24"/>
        </w:rPr>
        <w:t>, and Mr.</w:t>
      </w:r>
      <w:r w:rsidR="00C92678">
        <w:rPr>
          <w:rFonts w:ascii="Times New Roman" w:hAnsi="Times New Roman" w:cs="Times New Roman"/>
          <w:sz w:val="24"/>
          <w:szCs w:val="24"/>
        </w:rPr>
        <w:t xml:space="preserve"> </w:t>
      </w:r>
      <w:r w:rsidR="00C92678" w:rsidRPr="009C3B24">
        <w:rPr>
          <w:rFonts w:ascii="Times New Roman" w:hAnsi="Times New Roman" w:cs="Times New Roman" w:hint="eastAsia"/>
          <w:sz w:val="24"/>
          <w:szCs w:val="24"/>
        </w:rPr>
        <w:t>Sui</w:t>
      </w:r>
      <w:r w:rsidR="00C92678">
        <w:rPr>
          <w:rFonts w:ascii="Times New Roman" w:hAnsi="Times New Roman" w:cs="Times New Roman"/>
          <w:sz w:val="24"/>
          <w:szCs w:val="24"/>
        </w:rPr>
        <w:t xml:space="preserve"> </w:t>
      </w:r>
      <w:r w:rsidR="009C3B24" w:rsidRPr="009C3B24">
        <w:rPr>
          <w:rFonts w:ascii="Times New Roman" w:hAnsi="Times New Roman" w:cs="Times New Roman" w:hint="eastAsia"/>
          <w:sz w:val="24"/>
          <w:szCs w:val="24"/>
        </w:rPr>
        <w:t xml:space="preserve">Xiangqian (through </w:t>
      </w:r>
      <w:r w:rsidR="00711F63" w:rsidRPr="00711F63">
        <w:rPr>
          <w:rFonts w:ascii="Times New Roman" w:hAnsi="Times New Roman" w:cs="Times New Roman"/>
          <w:sz w:val="24"/>
          <w:szCs w:val="24"/>
        </w:rPr>
        <w:t>Forwater Holding Limited</w:t>
      </w:r>
      <w:r w:rsidR="009C3B24" w:rsidRPr="009C3B24">
        <w:rPr>
          <w:rFonts w:ascii="Times New Roman" w:hAnsi="Times New Roman" w:cs="Times New Roman" w:hint="eastAsia"/>
          <w:sz w:val="24"/>
          <w:szCs w:val="24"/>
        </w:rPr>
        <w:t xml:space="preserve">) </w:t>
      </w:r>
      <w:r w:rsidRPr="009C3B24">
        <w:rPr>
          <w:rFonts w:ascii="Times New Roman" w:hAnsi="Times New Roman" w:cs="Times New Roman"/>
          <w:sz w:val="24"/>
          <w:szCs w:val="24"/>
        </w:rPr>
        <w:t>(</w:t>
      </w:r>
      <w:r w:rsidR="003661B2">
        <w:rPr>
          <w:rFonts w:ascii="Times New Roman" w:hAnsi="Times New Roman" w:cs="Times New Roman" w:hint="eastAsia"/>
          <w:sz w:val="24"/>
          <w:szCs w:val="24"/>
        </w:rPr>
        <w:t xml:space="preserve">collectively, </w:t>
      </w:r>
      <w:r w:rsidRPr="009C3B24">
        <w:rPr>
          <w:rFonts w:ascii="Times New Roman" w:hAnsi="Times New Roman" w:cs="Times New Roman"/>
          <w:sz w:val="24"/>
          <w:szCs w:val="24"/>
        </w:rPr>
        <w:t>the “</w:t>
      </w:r>
      <w:r w:rsidRPr="00876C28">
        <w:rPr>
          <w:rFonts w:ascii="Times New Roman" w:hAnsi="Times New Roman" w:cs="Times New Roman"/>
          <w:b/>
          <w:bCs/>
          <w:sz w:val="24"/>
          <w:szCs w:val="24"/>
        </w:rPr>
        <w:t>Rollover Shareholders</w:t>
      </w:r>
      <w:r w:rsidRPr="009C3B24">
        <w:rPr>
          <w:rFonts w:ascii="Times New Roman" w:hAnsi="Times New Roman" w:cs="Times New Roman"/>
          <w:sz w:val="24"/>
          <w:szCs w:val="24"/>
        </w:rPr>
        <w:t xml:space="preserve">”), (ii) </w:t>
      </w:r>
      <w:r w:rsidR="00A75988" w:rsidRPr="009C3B24">
        <w:rPr>
          <w:rFonts w:ascii="Times New Roman" w:hAnsi="Times New Roman" w:cs="Times New Roman"/>
          <w:sz w:val="24"/>
          <w:szCs w:val="24"/>
        </w:rPr>
        <w:t>Share</w:t>
      </w:r>
      <w:r w:rsidRPr="009C3B24">
        <w:rPr>
          <w:rFonts w:ascii="Times New Roman" w:hAnsi="Times New Roman" w:cs="Times New Roman"/>
          <w:sz w:val="24"/>
          <w:szCs w:val="24"/>
        </w:rPr>
        <w:t>s owned by</w:t>
      </w:r>
      <w:r w:rsidR="000F1AD1" w:rsidRPr="009C3B24">
        <w:rPr>
          <w:rFonts w:ascii="Times New Roman" w:hAnsi="Times New Roman" w:cs="Times New Roman" w:hint="eastAsia"/>
          <w:sz w:val="24"/>
          <w:szCs w:val="24"/>
        </w:rPr>
        <w:t xml:space="preserve"> the</w:t>
      </w:r>
      <w:r w:rsidRPr="009C3B24">
        <w:rPr>
          <w:rFonts w:ascii="Times New Roman" w:hAnsi="Times New Roman" w:cs="Times New Roman"/>
          <w:sz w:val="24"/>
          <w:szCs w:val="24"/>
        </w:rPr>
        <w:t xml:space="preserve"> holders of </w:t>
      </w:r>
      <w:r w:rsidR="00A75988" w:rsidRPr="009C3B24">
        <w:rPr>
          <w:rFonts w:ascii="Times New Roman" w:hAnsi="Times New Roman" w:cs="Times New Roman"/>
          <w:sz w:val="24"/>
          <w:szCs w:val="24"/>
        </w:rPr>
        <w:t>Share</w:t>
      </w:r>
      <w:r w:rsidRPr="009C3B24">
        <w:rPr>
          <w:rFonts w:ascii="Times New Roman" w:hAnsi="Times New Roman" w:cs="Times New Roman"/>
          <w:sz w:val="24"/>
          <w:szCs w:val="24"/>
        </w:rPr>
        <w:t>s who have validly exercised</w:t>
      </w:r>
      <w:r w:rsidRPr="005A4C73">
        <w:rPr>
          <w:rFonts w:ascii="Times New Roman" w:hAnsi="Times New Roman" w:cs="Times New Roman"/>
          <w:sz w:val="24"/>
          <w:szCs w:val="24"/>
        </w:rPr>
        <w:t xml:space="preserve"> and not effectively withdrawn or lost their appraisal rights pursuant to Section 179 of the BVI Companies Act, 2004, as amended (</w:t>
      </w:r>
      <w:r w:rsidR="000F1AD1">
        <w:rPr>
          <w:rFonts w:ascii="Times New Roman" w:hAnsi="Times New Roman" w:cs="Times New Roman" w:hint="eastAsia"/>
          <w:sz w:val="24"/>
          <w:szCs w:val="24"/>
        </w:rPr>
        <w:t xml:space="preserve">the </w:t>
      </w:r>
      <w:r w:rsidRPr="005A4C73">
        <w:rPr>
          <w:rFonts w:ascii="Times New Roman" w:hAnsi="Times New Roman" w:cs="Times New Roman"/>
          <w:sz w:val="24"/>
          <w:szCs w:val="24"/>
        </w:rPr>
        <w:t>“</w:t>
      </w:r>
      <w:r w:rsidRPr="00015008">
        <w:rPr>
          <w:rFonts w:ascii="Times New Roman" w:hAnsi="Times New Roman" w:cs="Times New Roman"/>
          <w:b/>
          <w:bCs/>
          <w:sz w:val="24"/>
          <w:szCs w:val="24"/>
        </w:rPr>
        <w:t>Dissenting Shares</w:t>
      </w:r>
      <w:r w:rsidRPr="009C3B24">
        <w:rPr>
          <w:rFonts w:ascii="Times New Roman" w:hAnsi="Times New Roman" w:cs="Times New Roman"/>
          <w:sz w:val="24"/>
          <w:szCs w:val="24"/>
        </w:rPr>
        <w:t xml:space="preserve">”), and (iii) </w:t>
      </w:r>
      <w:r w:rsidR="00A75988" w:rsidRPr="009C3B24">
        <w:rPr>
          <w:rFonts w:ascii="Times New Roman" w:hAnsi="Times New Roman" w:cs="Times New Roman"/>
          <w:sz w:val="24"/>
          <w:szCs w:val="24"/>
        </w:rPr>
        <w:t>Share</w:t>
      </w:r>
      <w:r w:rsidRPr="009C3B24">
        <w:rPr>
          <w:rFonts w:ascii="Times New Roman" w:hAnsi="Times New Roman" w:cs="Times New Roman"/>
          <w:sz w:val="24"/>
          <w:szCs w:val="24"/>
        </w:rPr>
        <w:t xml:space="preserve">s </w:t>
      </w:r>
      <w:r w:rsidR="009C3B24" w:rsidRPr="009C3B24">
        <w:rPr>
          <w:rFonts w:ascii="Times New Roman" w:hAnsi="Times New Roman" w:cs="Times New Roman" w:hint="eastAsia"/>
          <w:sz w:val="24"/>
          <w:szCs w:val="24"/>
        </w:rPr>
        <w:t xml:space="preserve">(if any) </w:t>
      </w:r>
      <w:r w:rsidRPr="009C3B24">
        <w:rPr>
          <w:rFonts w:ascii="Times New Roman" w:hAnsi="Times New Roman" w:cs="Times New Roman"/>
          <w:sz w:val="24"/>
          <w:szCs w:val="24"/>
        </w:rPr>
        <w:t>owned by the Company or any direct or indirect wholly-owned subsidiary of the Company. Each Excluded Share</w:t>
      </w:r>
      <w:r w:rsidR="007E46A6">
        <w:rPr>
          <w:rFonts w:ascii="Times New Roman" w:hAnsi="Times New Roman" w:cs="Times New Roman"/>
          <w:sz w:val="24"/>
          <w:szCs w:val="24"/>
        </w:rPr>
        <w:t xml:space="preserve"> </w:t>
      </w:r>
      <w:r w:rsidRPr="009C3B24">
        <w:rPr>
          <w:rFonts w:ascii="Times New Roman" w:hAnsi="Times New Roman" w:cs="Times New Roman"/>
          <w:sz w:val="24"/>
          <w:szCs w:val="24"/>
        </w:rPr>
        <w:t>(other than the Dissenting Shares) issued and outstanding immediately prior to</w:t>
      </w:r>
      <w:r w:rsidRPr="005A4C73">
        <w:rPr>
          <w:rFonts w:ascii="Times New Roman" w:hAnsi="Times New Roman" w:cs="Times New Roman"/>
          <w:sz w:val="24"/>
          <w:szCs w:val="24"/>
        </w:rPr>
        <w:t xml:space="preserve"> the Effective Time, by virtue of the merger and without any action on the part of its holder, shall be cancelled and shall cease to exist as of the Effective Time, and no consideration shall be delivered with respect thereto.</w:t>
      </w:r>
    </w:p>
    <w:p w:rsidR="003863A2" w:rsidRPr="003863A2" w:rsidRDefault="00A47D7E" w:rsidP="003863A2">
      <w:pPr>
        <w:jc w:val="both"/>
        <w:rPr>
          <w:rFonts w:ascii="Times New Roman" w:hAnsi="Times New Roman" w:cs="Times New Roman"/>
          <w:sz w:val="24"/>
          <w:szCs w:val="24"/>
        </w:rPr>
      </w:pPr>
      <w:bookmarkStart w:id="0" w:name="_Hlk52295286"/>
      <w:r w:rsidRPr="003863A2">
        <w:rPr>
          <w:rFonts w:ascii="Times New Roman" w:hAnsi="Times New Roman" w:cs="Times New Roman"/>
          <w:sz w:val="24"/>
          <w:szCs w:val="24"/>
        </w:rPr>
        <w:t xml:space="preserve">Parent intends to finance the merger through a combination of equity and cash in the Company. Mr. </w:t>
      </w:r>
      <w:r w:rsidR="00C92678" w:rsidRPr="003863A2">
        <w:rPr>
          <w:rFonts w:ascii="Times New Roman" w:hAnsi="Times New Roman" w:cs="Times New Roman"/>
          <w:sz w:val="24"/>
          <w:szCs w:val="24"/>
        </w:rPr>
        <w:t>Li</w:t>
      </w:r>
      <w:r w:rsidR="00C92678">
        <w:rPr>
          <w:rFonts w:ascii="Times New Roman" w:hAnsi="Times New Roman" w:cs="Times New Roman"/>
          <w:sz w:val="24"/>
          <w:szCs w:val="24"/>
        </w:rPr>
        <w:t xml:space="preserve"> </w:t>
      </w:r>
      <w:r w:rsidRPr="003863A2">
        <w:rPr>
          <w:rFonts w:ascii="Times New Roman" w:hAnsi="Times New Roman" w:cs="Times New Roman"/>
          <w:sz w:val="24"/>
          <w:szCs w:val="24"/>
        </w:rPr>
        <w:t xml:space="preserve">Yuebiao and Ms. </w:t>
      </w:r>
      <w:r w:rsidR="00C92678" w:rsidRPr="003863A2">
        <w:rPr>
          <w:rFonts w:ascii="Times New Roman" w:hAnsi="Times New Roman" w:cs="Times New Roman"/>
          <w:sz w:val="24"/>
          <w:szCs w:val="24"/>
        </w:rPr>
        <w:t>Zhang</w:t>
      </w:r>
      <w:r w:rsidR="00C92678">
        <w:rPr>
          <w:rFonts w:ascii="Times New Roman" w:hAnsi="Times New Roman" w:cs="Times New Roman"/>
          <w:sz w:val="24"/>
          <w:szCs w:val="24"/>
        </w:rPr>
        <w:t xml:space="preserve"> </w:t>
      </w:r>
      <w:r w:rsidRPr="003863A2">
        <w:rPr>
          <w:rFonts w:ascii="Times New Roman" w:hAnsi="Times New Roman" w:cs="Times New Roman"/>
          <w:sz w:val="24"/>
          <w:szCs w:val="24"/>
        </w:rPr>
        <w:t>Zhuo, through special purpose vehicles owned by them (each, a “</w:t>
      </w:r>
      <w:r w:rsidRPr="003863A2">
        <w:rPr>
          <w:rFonts w:ascii="Times New Roman" w:hAnsi="Times New Roman" w:cs="Times New Roman"/>
          <w:b/>
          <w:bCs/>
          <w:sz w:val="24"/>
          <w:szCs w:val="24"/>
        </w:rPr>
        <w:t>Subscriber</w:t>
      </w:r>
      <w:r w:rsidRPr="003863A2">
        <w:rPr>
          <w:rFonts w:ascii="Times New Roman" w:hAnsi="Times New Roman" w:cs="Times New Roman"/>
          <w:sz w:val="24"/>
          <w:szCs w:val="24"/>
        </w:rPr>
        <w:t>”, and together, the “</w:t>
      </w:r>
      <w:r w:rsidRPr="003863A2">
        <w:rPr>
          <w:rFonts w:ascii="Times New Roman" w:hAnsi="Times New Roman" w:cs="Times New Roman"/>
          <w:b/>
          <w:bCs/>
          <w:sz w:val="24"/>
          <w:szCs w:val="24"/>
        </w:rPr>
        <w:t>Subscribers</w:t>
      </w:r>
      <w:r w:rsidRPr="003863A2">
        <w:rPr>
          <w:rFonts w:ascii="Times New Roman" w:hAnsi="Times New Roman" w:cs="Times New Roman"/>
          <w:sz w:val="24"/>
          <w:szCs w:val="24"/>
        </w:rPr>
        <w:t>”), have entered into share subscription agreements with Parent, pursuant to which the Subscribers committed to subscribe equity interests in Parent with cash, the sum of which will be used by Parent to pay a portion of the aggregate merger consideration.  Remainder of the aggregate merger consideration will be paid with Company cash on the balance sheet as of closing.  Parent (i) has the right to seek alternative funding to replace</w:t>
      </w:r>
      <w:r w:rsidR="006738DA">
        <w:rPr>
          <w:rFonts w:ascii="Times New Roman" w:hAnsi="Times New Roman" w:cs="Times New Roman"/>
          <w:sz w:val="24"/>
          <w:szCs w:val="24"/>
        </w:rPr>
        <w:t xml:space="preserve"> the use of such Company cash </w:t>
      </w:r>
      <w:r w:rsidR="006738DA">
        <w:rPr>
          <w:rFonts w:ascii="Times New Roman" w:hAnsi="Times New Roman" w:cs="Times New Roman" w:hint="eastAsia"/>
          <w:sz w:val="24"/>
          <w:szCs w:val="24"/>
        </w:rPr>
        <w:t>prior to</w:t>
      </w:r>
      <w:r w:rsidRPr="003863A2">
        <w:rPr>
          <w:rFonts w:ascii="Times New Roman" w:hAnsi="Times New Roman" w:cs="Times New Roman"/>
          <w:sz w:val="24"/>
          <w:szCs w:val="24"/>
        </w:rPr>
        <w:t xml:space="preserve"> </w:t>
      </w:r>
      <w:r w:rsidR="006738DA">
        <w:rPr>
          <w:rFonts w:ascii="Times New Roman" w:hAnsi="Times New Roman" w:cs="Times New Roman" w:hint="eastAsia"/>
          <w:sz w:val="24"/>
          <w:szCs w:val="24"/>
        </w:rPr>
        <w:t xml:space="preserve">the </w:t>
      </w:r>
      <w:r w:rsidRPr="003863A2">
        <w:rPr>
          <w:rFonts w:ascii="Times New Roman" w:hAnsi="Times New Roman" w:cs="Times New Roman"/>
          <w:sz w:val="24"/>
          <w:szCs w:val="24"/>
        </w:rPr>
        <w:t xml:space="preserve">closing, and (ii) is obligated to use reasonable best efforts to obtain alternative financing from alternative sources for any shortfall in the event </w:t>
      </w:r>
      <w:r w:rsidRPr="003863A2">
        <w:rPr>
          <w:rFonts w:ascii="Times New Roman" w:hAnsi="Times New Roman" w:cs="Times New Roman"/>
          <w:sz w:val="24"/>
          <w:szCs w:val="24"/>
        </w:rPr>
        <w:lastRenderedPageBreak/>
        <w:t xml:space="preserve">that the Company does not have sufficient cash for use as merger consideration.  Each of Mr. </w:t>
      </w:r>
      <w:r w:rsidR="00C92678" w:rsidRPr="003863A2">
        <w:rPr>
          <w:rFonts w:ascii="Times New Roman" w:hAnsi="Times New Roman" w:cs="Times New Roman"/>
          <w:sz w:val="24"/>
          <w:szCs w:val="24"/>
        </w:rPr>
        <w:t>Li</w:t>
      </w:r>
      <w:r w:rsidR="00C92678">
        <w:rPr>
          <w:rFonts w:ascii="Times New Roman" w:hAnsi="Times New Roman" w:cs="Times New Roman"/>
          <w:sz w:val="24"/>
          <w:szCs w:val="24"/>
        </w:rPr>
        <w:t xml:space="preserve"> </w:t>
      </w:r>
      <w:r w:rsidRPr="003863A2">
        <w:rPr>
          <w:rFonts w:ascii="Times New Roman" w:hAnsi="Times New Roman" w:cs="Times New Roman"/>
          <w:sz w:val="24"/>
          <w:szCs w:val="24"/>
        </w:rPr>
        <w:t xml:space="preserve">Yuebiao and Ms. </w:t>
      </w:r>
      <w:r w:rsidR="00C92678" w:rsidRPr="003863A2">
        <w:rPr>
          <w:rFonts w:ascii="Times New Roman" w:hAnsi="Times New Roman" w:cs="Times New Roman"/>
          <w:sz w:val="24"/>
          <w:szCs w:val="24"/>
        </w:rPr>
        <w:t>Zhang</w:t>
      </w:r>
      <w:r w:rsidR="00C92678">
        <w:rPr>
          <w:rFonts w:ascii="Times New Roman" w:hAnsi="Times New Roman" w:cs="Times New Roman"/>
          <w:sz w:val="24"/>
          <w:szCs w:val="24"/>
        </w:rPr>
        <w:t xml:space="preserve"> </w:t>
      </w:r>
      <w:r w:rsidRPr="003863A2">
        <w:rPr>
          <w:rFonts w:ascii="Times New Roman" w:hAnsi="Times New Roman" w:cs="Times New Roman"/>
          <w:sz w:val="24"/>
          <w:szCs w:val="24"/>
        </w:rPr>
        <w:t>Zhuo has entered into a limited guarantee in favor of the Company in respect of certain payment obligations of Parent under the Merger Agreement.</w:t>
      </w:r>
    </w:p>
    <w:bookmarkEnd w:id="0"/>
    <w:p w:rsidR="0057717F" w:rsidRPr="00D54ABE" w:rsidRDefault="00A47D7E" w:rsidP="005A4C73">
      <w:pPr>
        <w:jc w:val="both"/>
        <w:rPr>
          <w:rFonts w:ascii="Times New Roman" w:hAnsi="Times New Roman" w:cs="Times New Roman"/>
          <w:sz w:val="24"/>
          <w:szCs w:val="24"/>
        </w:rPr>
      </w:pPr>
      <w:r w:rsidRPr="005A4C73">
        <w:rPr>
          <w:rFonts w:ascii="Times New Roman" w:hAnsi="Times New Roman" w:cs="Times New Roman"/>
          <w:sz w:val="24"/>
          <w:szCs w:val="24"/>
        </w:rPr>
        <w:t>The Company</w:t>
      </w:r>
      <w:r w:rsidR="004F1EB1" w:rsidRPr="005A4C73">
        <w:rPr>
          <w:rFonts w:ascii="Times New Roman" w:hAnsi="Times New Roman" w:cs="Times New Roman"/>
          <w:sz w:val="24"/>
          <w:szCs w:val="24"/>
        </w:rPr>
        <w:t>’</w:t>
      </w:r>
      <w:r w:rsidRPr="005A4C73">
        <w:rPr>
          <w:rFonts w:ascii="Times New Roman" w:hAnsi="Times New Roman" w:cs="Times New Roman"/>
          <w:sz w:val="24"/>
          <w:szCs w:val="24"/>
        </w:rPr>
        <w:t xml:space="preserve">s board of directors, acting upon the unanimous recommendation of the </w:t>
      </w:r>
      <w:r w:rsidR="001F5610" w:rsidRPr="005A4C73">
        <w:rPr>
          <w:rFonts w:ascii="Times New Roman" w:hAnsi="Times New Roman" w:cs="Times New Roman"/>
          <w:sz w:val="24"/>
          <w:szCs w:val="24"/>
        </w:rPr>
        <w:t>independent committee</w:t>
      </w:r>
      <w:r w:rsidRPr="005A4C73">
        <w:rPr>
          <w:rFonts w:ascii="Times New Roman" w:hAnsi="Times New Roman" w:cs="Times New Roman"/>
          <w:sz w:val="24"/>
          <w:szCs w:val="24"/>
        </w:rPr>
        <w:t xml:space="preserve"> (the “</w:t>
      </w:r>
      <w:r w:rsidR="001F5610" w:rsidRPr="005A4C73">
        <w:rPr>
          <w:rFonts w:ascii="Times New Roman" w:hAnsi="Times New Roman" w:cs="Times New Roman"/>
          <w:sz w:val="24"/>
          <w:szCs w:val="24"/>
        </w:rPr>
        <w:t>Independent committee</w:t>
      </w:r>
      <w:r w:rsidRPr="005A4C73">
        <w:rPr>
          <w:rFonts w:ascii="Times New Roman" w:hAnsi="Times New Roman" w:cs="Times New Roman"/>
          <w:sz w:val="24"/>
          <w:szCs w:val="24"/>
        </w:rPr>
        <w:t>”) formed by the board of directors, approved the Merger Agreement and the transactions contemplated thereby, including the Merger, and resolved to recommend that the Company</w:t>
      </w:r>
      <w:r w:rsidR="004F1EB1" w:rsidRPr="005A4C73">
        <w:rPr>
          <w:rFonts w:ascii="Times New Roman" w:hAnsi="Times New Roman" w:cs="Times New Roman"/>
          <w:sz w:val="24"/>
          <w:szCs w:val="24"/>
        </w:rPr>
        <w:t>’</w:t>
      </w:r>
      <w:r w:rsidRPr="005A4C73">
        <w:rPr>
          <w:rFonts w:ascii="Times New Roman" w:hAnsi="Times New Roman" w:cs="Times New Roman"/>
          <w:sz w:val="24"/>
          <w:szCs w:val="24"/>
        </w:rPr>
        <w:t xml:space="preserve">s shareholders vote to authorize and approve the Merger Agreement and the transactions contemplated thereby, including the Merger. The </w:t>
      </w:r>
      <w:r w:rsidR="001F5610" w:rsidRPr="005A4C73">
        <w:rPr>
          <w:rFonts w:ascii="Times New Roman" w:hAnsi="Times New Roman" w:cs="Times New Roman"/>
          <w:sz w:val="24"/>
          <w:szCs w:val="24"/>
        </w:rPr>
        <w:t>Independent committee</w:t>
      </w:r>
      <w:r w:rsidRPr="005A4C73">
        <w:rPr>
          <w:rFonts w:ascii="Times New Roman" w:hAnsi="Times New Roman" w:cs="Times New Roman"/>
          <w:sz w:val="24"/>
          <w:szCs w:val="24"/>
        </w:rPr>
        <w:t xml:space="preserve">, which is comprised solely of independent and disinterested directors of the Company who are unaffiliated with any </w:t>
      </w:r>
      <w:r w:rsidRPr="00D54ABE">
        <w:rPr>
          <w:rFonts w:ascii="Times New Roman" w:hAnsi="Times New Roman" w:cs="Times New Roman"/>
          <w:sz w:val="24"/>
          <w:szCs w:val="24"/>
        </w:rPr>
        <w:t xml:space="preserve">of Parent, Merger Sub, </w:t>
      </w:r>
      <w:r w:rsidR="009B0F6C" w:rsidRPr="00D54ABE">
        <w:rPr>
          <w:rFonts w:ascii="Times New Roman" w:hAnsi="Times New Roman" w:cs="Times New Roman" w:hint="eastAsia"/>
          <w:sz w:val="24"/>
          <w:szCs w:val="24"/>
        </w:rPr>
        <w:t>Mr. Li</w:t>
      </w:r>
      <w:r w:rsidR="00C92678" w:rsidRPr="00D54ABE">
        <w:rPr>
          <w:rFonts w:ascii="Times New Roman" w:hAnsi="Times New Roman" w:cs="Times New Roman"/>
          <w:sz w:val="24"/>
          <w:szCs w:val="24"/>
        </w:rPr>
        <w:t xml:space="preserve"> </w:t>
      </w:r>
      <w:r w:rsidR="00C92678" w:rsidRPr="00D54ABE">
        <w:rPr>
          <w:rFonts w:ascii="Times New Roman" w:hAnsi="Times New Roman" w:cs="Times New Roman" w:hint="eastAsia"/>
          <w:sz w:val="24"/>
          <w:szCs w:val="24"/>
        </w:rPr>
        <w:t>Yuebiao</w:t>
      </w:r>
      <w:r w:rsidR="009B0F6C" w:rsidRPr="00D54ABE">
        <w:rPr>
          <w:rFonts w:ascii="Times New Roman" w:hAnsi="Times New Roman" w:cs="Times New Roman" w:hint="eastAsia"/>
          <w:sz w:val="24"/>
          <w:szCs w:val="24"/>
        </w:rPr>
        <w:t>, Ms. Zhang</w:t>
      </w:r>
      <w:r w:rsidR="00C92678" w:rsidRPr="00D54ABE">
        <w:rPr>
          <w:rFonts w:ascii="Times New Roman" w:hAnsi="Times New Roman" w:cs="Times New Roman"/>
          <w:sz w:val="24"/>
          <w:szCs w:val="24"/>
        </w:rPr>
        <w:t xml:space="preserve"> </w:t>
      </w:r>
      <w:r w:rsidR="00C92678" w:rsidRPr="00D54ABE">
        <w:rPr>
          <w:rFonts w:ascii="Times New Roman" w:hAnsi="Times New Roman" w:cs="Times New Roman" w:hint="eastAsia"/>
          <w:sz w:val="24"/>
          <w:szCs w:val="24"/>
        </w:rPr>
        <w:t>Zhuo</w:t>
      </w:r>
      <w:r w:rsidR="001F5610" w:rsidRPr="00D54ABE">
        <w:rPr>
          <w:rFonts w:ascii="Times New Roman" w:hAnsi="Times New Roman" w:cs="Times New Roman"/>
          <w:sz w:val="24"/>
          <w:szCs w:val="24"/>
        </w:rPr>
        <w:t xml:space="preserve">, </w:t>
      </w:r>
      <w:r w:rsidRPr="00D54ABE">
        <w:rPr>
          <w:rFonts w:ascii="Times New Roman" w:hAnsi="Times New Roman" w:cs="Times New Roman"/>
          <w:sz w:val="24"/>
          <w:szCs w:val="24"/>
        </w:rPr>
        <w:t>or any of the management members of the Company, negotiated the terms of the Merger Agreement with the assistance of its financial and legal advisors.</w:t>
      </w:r>
    </w:p>
    <w:p w:rsidR="0057717F" w:rsidRPr="005A4C73" w:rsidRDefault="00A47D7E" w:rsidP="005A4C73">
      <w:pPr>
        <w:jc w:val="both"/>
        <w:rPr>
          <w:rFonts w:ascii="Times New Roman" w:hAnsi="Times New Roman" w:cs="Times New Roman"/>
          <w:sz w:val="24"/>
          <w:szCs w:val="24"/>
        </w:rPr>
      </w:pPr>
      <w:r w:rsidRPr="00D54ABE">
        <w:rPr>
          <w:rFonts w:ascii="Times New Roman" w:hAnsi="Times New Roman" w:cs="Times New Roman"/>
          <w:sz w:val="24"/>
          <w:szCs w:val="24"/>
        </w:rPr>
        <w:t>The Merger, which is currently expected to close</w:t>
      </w:r>
      <w:r w:rsidR="00FB7B18" w:rsidRPr="00D54ABE">
        <w:rPr>
          <w:rFonts w:ascii="Times New Roman" w:hAnsi="Times New Roman" w:cs="Times New Roman"/>
          <w:sz w:val="24"/>
          <w:szCs w:val="24"/>
        </w:rPr>
        <w:t xml:space="preserve"> </w:t>
      </w:r>
      <w:r w:rsidR="00FB7B18" w:rsidRPr="00D54ABE">
        <w:rPr>
          <w:rFonts w:ascii="Times New Roman" w:hAnsi="Times New Roman" w:cs="Times New Roman" w:hint="eastAsia"/>
          <w:sz w:val="24"/>
          <w:szCs w:val="24"/>
        </w:rPr>
        <w:t xml:space="preserve">during the </w:t>
      </w:r>
      <w:r w:rsidR="00FB7B18" w:rsidRPr="00D54ABE">
        <w:rPr>
          <w:rFonts w:ascii="Times New Roman" w:hAnsi="Times New Roman" w:cs="Times New Roman"/>
          <w:sz w:val="24"/>
          <w:szCs w:val="24"/>
        </w:rPr>
        <w:t>second</w:t>
      </w:r>
      <w:r w:rsidR="008B71D8" w:rsidRPr="00D54ABE">
        <w:rPr>
          <w:rFonts w:ascii="Times New Roman" w:hAnsi="Times New Roman" w:cs="Times New Roman"/>
          <w:sz w:val="24"/>
          <w:szCs w:val="24"/>
        </w:rPr>
        <w:t xml:space="preserve"> </w:t>
      </w:r>
      <w:r w:rsidR="009313F6" w:rsidRPr="00D54ABE">
        <w:rPr>
          <w:rFonts w:ascii="Times New Roman" w:hAnsi="Times New Roman" w:cs="Times New Roman"/>
          <w:sz w:val="24"/>
          <w:szCs w:val="24"/>
        </w:rPr>
        <w:t>quarter</w:t>
      </w:r>
      <w:r w:rsidR="008B71D8" w:rsidRPr="00D54ABE">
        <w:rPr>
          <w:rFonts w:ascii="Times New Roman" w:hAnsi="Times New Roman" w:cs="Times New Roman"/>
          <w:sz w:val="24"/>
          <w:szCs w:val="24"/>
        </w:rPr>
        <w:t xml:space="preserve"> of 2021</w:t>
      </w:r>
      <w:r w:rsidRPr="00D54ABE">
        <w:rPr>
          <w:rFonts w:ascii="Times New Roman" w:hAnsi="Times New Roman" w:cs="Times New Roman"/>
          <w:sz w:val="24"/>
          <w:szCs w:val="24"/>
        </w:rPr>
        <w:t>, is subject to customary closing conditions, including the approval by an affirmative vote of shareholders representing more than fifty pe</w:t>
      </w:r>
      <w:r w:rsidR="00A75988" w:rsidRPr="00D54ABE">
        <w:rPr>
          <w:rFonts w:ascii="Times New Roman" w:hAnsi="Times New Roman" w:cs="Times New Roman"/>
          <w:sz w:val="24"/>
          <w:szCs w:val="24"/>
        </w:rPr>
        <w:t>rcent (50%) of the outstanding Share</w:t>
      </w:r>
      <w:r w:rsidRPr="00D54ABE">
        <w:rPr>
          <w:rFonts w:ascii="Times New Roman" w:hAnsi="Times New Roman" w:cs="Times New Roman"/>
          <w:sz w:val="24"/>
          <w:szCs w:val="24"/>
        </w:rPr>
        <w:t>s of the</w:t>
      </w:r>
      <w:r w:rsidRPr="005A4C73">
        <w:rPr>
          <w:rFonts w:ascii="Times New Roman" w:hAnsi="Times New Roman" w:cs="Times New Roman"/>
          <w:sz w:val="24"/>
          <w:szCs w:val="24"/>
        </w:rPr>
        <w:t xml:space="preserve"> Company, present and voting in person or by proxy as a single class at a general meeting of the Company</w:t>
      </w:r>
      <w:r w:rsidR="004F1EB1" w:rsidRPr="005A4C73">
        <w:rPr>
          <w:rFonts w:ascii="Times New Roman" w:hAnsi="Times New Roman" w:cs="Times New Roman"/>
          <w:sz w:val="24"/>
          <w:szCs w:val="24"/>
        </w:rPr>
        <w:t>’</w:t>
      </w:r>
      <w:r w:rsidRPr="005A4C73">
        <w:rPr>
          <w:rFonts w:ascii="Times New Roman" w:hAnsi="Times New Roman" w:cs="Times New Roman"/>
          <w:sz w:val="24"/>
          <w:szCs w:val="24"/>
        </w:rPr>
        <w:t xml:space="preserve">s shareholders duly convened to consider the approval of the Merger Agreement and the transactions contemplated thereby, including the Merger. As of the date of the Merger Agreement, the Rollover Shareholders have agreed under a voting agreement to vote all in favor of the Merger Agreement and consummation of the transactions contemplated thereby, including the Merger. If completed, the Merger will result in the Company becoming a privately held company and its Common Shares will no longer be listed on </w:t>
      </w:r>
      <w:r w:rsidR="00C81DE1">
        <w:rPr>
          <w:rFonts w:ascii="Times New Roman" w:hAnsi="Times New Roman" w:cs="Times New Roman"/>
          <w:sz w:val="24"/>
          <w:szCs w:val="24"/>
        </w:rPr>
        <w:t xml:space="preserve">the </w:t>
      </w:r>
      <w:r w:rsidRPr="005A4C73">
        <w:rPr>
          <w:rFonts w:ascii="Times New Roman" w:hAnsi="Times New Roman" w:cs="Times New Roman"/>
          <w:sz w:val="24"/>
          <w:szCs w:val="24"/>
        </w:rPr>
        <w:t xml:space="preserve">NASDAQ </w:t>
      </w:r>
      <w:r w:rsidR="00A75988" w:rsidRPr="005A4C73">
        <w:rPr>
          <w:rFonts w:ascii="Times New Roman" w:hAnsi="Times New Roman" w:cs="Times New Roman"/>
          <w:sz w:val="24"/>
          <w:szCs w:val="24"/>
        </w:rPr>
        <w:t xml:space="preserve">Capital </w:t>
      </w:r>
      <w:r w:rsidRPr="005A4C73">
        <w:rPr>
          <w:rFonts w:ascii="Times New Roman" w:hAnsi="Times New Roman" w:cs="Times New Roman"/>
          <w:sz w:val="24"/>
          <w:szCs w:val="24"/>
        </w:rPr>
        <w:t>Market.</w:t>
      </w:r>
    </w:p>
    <w:p w:rsidR="0057717F" w:rsidRPr="005A4C73" w:rsidRDefault="00A47D7E" w:rsidP="005A4C73">
      <w:pPr>
        <w:jc w:val="both"/>
        <w:rPr>
          <w:rFonts w:ascii="Times New Roman" w:hAnsi="Times New Roman" w:cs="Times New Roman"/>
          <w:sz w:val="24"/>
          <w:szCs w:val="24"/>
        </w:rPr>
      </w:pPr>
      <w:r w:rsidRPr="005A4C73">
        <w:rPr>
          <w:rFonts w:ascii="Times New Roman" w:hAnsi="Times New Roman" w:cs="Times New Roman"/>
          <w:sz w:val="24"/>
          <w:szCs w:val="24"/>
        </w:rPr>
        <w:t xml:space="preserve">Duff &amp; Phelps, LLC is serving as independent financial advisor to the </w:t>
      </w:r>
      <w:r w:rsidR="001F5610" w:rsidRPr="005A4C73">
        <w:rPr>
          <w:rFonts w:ascii="Times New Roman" w:hAnsi="Times New Roman" w:cs="Times New Roman"/>
          <w:sz w:val="24"/>
          <w:szCs w:val="24"/>
        </w:rPr>
        <w:t>Independent committee</w:t>
      </w:r>
      <w:r w:rsidRPr="005A4C73">
        <w:rPr>
          <w:rFonts w:ascii="Times New Roman" w:hAnsi="Times New Roman" w:cs="Times New Roman"/>
          <w:sz w:val="24"/>
          <w:szCs w:val="24"/>
        </w:rPr>
        <w:t xml:space="preserve">. MagStone Law, LLP is serving as United States legal advisor to the </w:t>
      </w:r>
      <w:r w:rsidR="001F5610" w:rsidRPr="005A4C73">
        <w:rPr>
          <w:rFonts w:ascii="Times New Roman" w:hAnsi="Times New Roman" w:cs="Times New Roman"/>
          <w:sz w:val="24"/>
          <w:szCs w:val="24"/>
        </w:rPr>
        <w:t>Independent committee</w:t>
      </w:r>
      <w:r w:rsidRPr="005A4C73">
        <w:rPr>
          <w:rFonts w:ascii="Times New Roman" w:hAnsi="Times New Roman" w:cs="Times New Roman"/>
          <w:sz w:val="24"/>
          <w:szCs w:val="24"/>
        </w:rPr>
        <w:t>. Ogier is serving as BVI legal advisor to the Independent Committee</w:t>
      </w:r>
      <w:r w:rsidR="005B41AE" w:rsidRPr="005A4C73">
        <w:rPr>
          <w:rFonts w:ascii="Times New Roman" w:hAnsi="Times New Roman" w:cs="Times New Roman"/>
          <w:sz w:val="24"/>
          <w:szCs w:val="24"/>
        </w:rPr>
        <w:t xml:space="preserve">. </w:t>
      </w:r>
      <w:r w:rsidRPr="005A4C73">
        <w:rPr>
          <w:rFonts w:ascii="Times New Roman" w:hAnsi="Times New Roman" w:cs="Times New Roman"/>
          <w:sz w:val="24"/>
          <w:szCs w:val="24"/>
        </w:rPr>
        <w:t xml:space="preserve"> </w:t>
      </w:r>
      <w:r w:rsidR="005B41AE" w:rsidRPr="005A4C73">
        <w:rPr>
          <w:rFonts w:ascii="Times New Roman" w:hAnsi="Times New Roman" w:cs="Times New Roman"/>
          <w:sz w:val="24"/>
          <w:szCs w:val="24"/>
        </w:rPr>
        <w:t>DLA Piper LLP</w:t>
      </w:r>
      <w:r w:rsidRPr="005A4C73">
        <w:rPr>
          <w:rFonts w:ascii="Times New Roman" w:hAnsi="Times New Roman" w:cs="Times New Roman"/>
          <w:sz w:val="24"/>
          <w:szCs w:val="24"/>
        </w:rPr>
        <w:t xml:space="preserve"> is serving as legal advisor to </w:t>
      </w:r>
      <w:r w:rsidR="00EC60C8">
        <w:rPr>
          <w:rFonts w:ascii="Times New Roman" w:hAnsi="Times New Roman" w:cs="Times New Roman"/>
          <w:sz w:val="24"/>
          <w:szCs w:val="24"/>
        </w:rPr>
        <w:t>Mr. Li</w:t>
      </w:r>
      <w:r w:rsidR="00C92678">
        <w:rPr>
          <w:rFonts w:ascii="Times New Roman" w:hAnsi="Times New Roman" w:cs="Times New Roman"/>
          <w:sz w:val="24"/>
          <w:szCs w:val="24"/>
        </w:rPr>
        <w:t xml:space="preserve"> Yuebiao</w:t>
      </w:r>
      <w:r w:rsidR="00EC60C8">
        <w:rPr>
          <w:rFonts w:ascii="Times New Roman" w:hAnsi="Times New Roman" w:cs="Times New Roman"/>
          <w:sz w:val="24"/>
          <w:szCs w:val="24"/>
        </w:rPr>
        <w:t>, Ms. Zhang</w:t>
      </w:r>
      <w:r w:rsidR="00C92678">
        <w:rPr>
          <w:rFonts w:ascii="Times New Roman" w:hAnsi="Times New Roman" w:cs="Times New Roman"/>
          <w:sz w:val="24"/>
          <w:szCs w:val="24"/>
        </w:rPr>
        <w:t xml:space="preserve"> Zhuo</w:t>
      </w:r>
      <w:r w:rsidR="009B0F6C">
        <w:rPr>
          <w:rFonts w:ascii="Times New Roman" w:hAnsi="Times New Roman" w:cs="Times New Roman" w:hint="eastAsia"/>
          <w:sz w:val="24"/>
          <w:szCs w:val="24"/>
        </w:rPr>
        <w:t xml:space="preserve">, </w:t>
      </w:r>
      <w:r w:rsidR="005B41AE" w:rsidRPr="005A4C73">
        <w:rPr>
          <w:rFonts w:ascii="Times New Roman" w:hAnsi="Times New Roman" w:cs="Times New Roman"/>
          <w:sz w:val="24"/>
          <w:szCs w:val="24"/>
        </w:rPr>
        <w:t>Parent</w:t>
      </w:r>
      <w:r w:rsidR="009B0F6C">
        <w:rPr>
          <w:rFonts w:ascii="Times New Roman" w:hAnsi="Times New Roman" w:cs="Times New Roman" w:hint="eastAsia"/>
          <w:sz w:val="24"/>
          <w:szCs w:val="24"/>
        </w:rPr>
        <w:t xml:space="preserve"> and Me</w:t>
      </w:r>
      <w:r w:rsidR="00BA1AAE">
        <w:rPr>
          <w:rFonts w:ascii="Times New Roman" w:hAnsi="Times New Roman" w:cs="Times New Roman" w:hint="eastAsia"/>
          <w:sz w:val="24"/>
          <w:szCs w:val="24"/>
        </w:rPr>
        <w:t>r</w:t>
      </w:r>
      <w:r w:rsidR="009B0F6C">
        <w:rPr>
          <w:rFonts w:ascii="Times New Roman" w:hAnsi="Times New Roman" w:cs="Times New Roman" w:hint="eastAsia"/>
          <w:sz w:val="24"/>
          <w:szCs w:val="24"/>
        </w:rPr>
        <w:t>ger Sub</w:t>
      </w:r>
      <w:r w:rsidRPr="005A4C73">
        <w:rPr>
          <w:rFonts w:ascii="Times New Roman" w:hAnsi="Times New Roman" w:cs="Times New Roman"/>
          <w:sz w:val="24"/>
          <w:szCs w:val="24"/>
        </w:rPr>
        <w:t>.</w:t>
      </w:r>
    </w:p>
    <w:p w:rsidR="0057717F" w:rsidRPr="005A4C73" w:rsidRDefault="00A47D7E" w:rsidP="005A4C73">
      <w:pPr>
        <w:jc w:val="both"/>
        <w:rPr>
          <w:rFonts w:ascii="Times New Roman" w:hAnsi="Times New Roman" w:cs="Times New Roman"/>
          <w:b/>
          <w:sz w:val="24"/>
          <w:szCs w:val="24"/>
        </w:rPr>
      </w:pPr>
      <w:r w:rsidRPr="005A4C73">
        <w:rPr>
          <w:rFonts w:ascii="Times New Roman" w:hAnsi="Times New Roman" w:cs="Times New Roman"/>
          <w:b/>
          <w:sz w:val="24"/>
          <w:szCs w:val="24"/>
        </w:rPr>
        <w:t>Additional Information about the Transaction</w:t>
      </w:r>
    </w:p>
    <w:p w:rsidR="0057717F" w:rsidRPr="005A4C73" w:rsidRDefault="00A47D7E" w:rsidP="005A4C73">
      <w:pPr>
        <w:jc w:val="both"/>
        <w:rPr>
          <w:rFonts w:ascii="Times New Roman" w:hAnsi="Times New Roman" w:cs="Times New Roman"/>
          <w:sz w:val="24"/>
          <w:szCs w:val="24"/>
        </w:rPr>
      </w:pPr>
      <w:r w:rsidRPr="005A4C73">
        <w:rPr>
          <w:rFonts w:ascii="Times New Roman" w:hAnsi="Times New Roman" w:cs="Times New Roman"/>
          <w:sz w:val="24"/>
          <w:szCs w:val="24"/>
        </w:rPr>
        <w:t>The Company will furnish to the Securities and Exchange Commission (the “SEC”) a report on Form 6-K regarding the proposed transactions described in this announcement, which will include the Merger Agreement. All parties desiring details regarding the proposed Merger are urged to review these documents, which will be available at the SEC</w:t>
      </w:r>
      <w:r w:rsidR="004F1EB1" w:rsidRPr="005A4C73">
        <w:rPr>
          <w:rFonts w:ascii="Times New Roman" w:hAnsi="Times New Roman" w:cs="Times New Roman"/>
          <w:sz w:val="24"/>
          <w:szCs w:val="24"/>
        </w:rPr>
        <w:t>’</w:t>
      </w:r>
      <w:r w:rsidRPr="005A4C73">
        <w:rPr>
          <w:rFonts w:ascii="Times New Roman" w:hAnsi="Times New Roman" w:cs="Times New Roman"/>
          <w:sz w:val="24"/>
          <w:szCs w:val="24"/>
        </w:rPr>
        <w:t>s website (http://www.sec.gov).</w:t>
      </w:r>
    </w:p>
    <w:p w:rsidR="0057717F" w:rsidRPr="005A4C73" w:rsidRDefault="00A47D7E" w:rsidP="005A4C73">
      <w:pPr>
        <w:jc w:val="both"/>
        <w:rPr>
          <w:rFonts w:ascii="Times New Roman" w:hAnsi="Times New Roman" w:cs="Times New Roman"/>
          <w:sz w:val="24"/>
          <w:szCs w:val="24"/>
        </w:rPr>
      </w:pPr>
      <w:r w:rsidRPr="005A4C73">
        <w:rPr>
          <w:rFonts w:ascii="Times New Roman" w:hAnsi="Times New Roman" w:cs="Times New Roman"/>
          <w:sz w:val="24"/>
          <w:szCs w:val="24"/>
        </w:rPr>
        <w:t xml:space="preserve"> In connection with the proposed Merger, the Company will prepare and mail a proxy statement to its shareholders. In addition, certain participants in the proposed Merger will prepare and mail to the Company</w:t>
      </w:r>
      <w:r w:rsidR="004F1EB1" w:rsidRPr="005A4C73">
        <w:rPr>
          <w:rFonts w:ascii="Times New Roman" w:hAnsi="Times New Roman" w:cs="Times New Roman"/>
          <w:sz w:val="24"/>
          <w:szCs w:val="24"/>
        </w:rPr>
        <w:t>’</w:t>
      </w:r>
      <w:r w:rsidRPr="005A4C73">
        <w:rPr>
          <w:rFonts w:ascii="Times New Roman" w:hAnsi="Times New Roman" w:cs="Times New Roman"/>
          <w:sz w:val="24"/>
          <w:szCs w:val="24"/>
        </w:rPr>
        <w:t xml:space="preserve">s shareholders a Schedule 13E-3 transaction statement. These documents will be filed with or furnished to the SEC. INVESTORS AND SHAREHOLDERS ARE URGED TO READ CAREFULLY AND IN THEIR ENTIRETY THESE MATERIALS AND OTHER </w:t>
      </w:r>
      <w:r w:rsidRPr="005A4C73">
        <w:rPr>
          <w:rFonts w:ascii="Times New Roman" w:hAnsi="Times New Roman" w:cs="Times New Roman"/>
          <w:sz w:val="24"/>
          <w:szCs w:val="24"/>
        </w:rPr>
        <w:lastRenderedPageBreak/>
        <w:t>MATERIALS FILED WITH OR FURNISHED TO THE SEC WHEN THEY BECOME AVAILABLE, AS THEY WILL CONTAIN IMPORTANT INFORMATION ABOUT THE COMPANY, THE PROPOSED MERGER AND RELATED MATTERS. In addition to receiving the proxy statement and Schedule 13E-3 transaction statement by mail, shareholders also will be able to obtain these documents, as well as other filings containing information about the Company, the proposed Merger and related matters, without charge, from the SEC</w:t>
      </w:r>
      <w:r w:rsidR="004F1EB1" w:rsidRPr="005A4C73">
        <w:rPr>
          <w:rFonts w:ascii="Times New Roman" w:hAnsi="Times New Roman" w:cs="Times New Roman"/>
          <w:sz w:val="24"/>
          <w:szCs w:val="24"/>
        </w:rPr>
        <w:t>’</w:t>
      </w:r>
      <w:r w:rsidRPr="005A4C73">
        <w:rPr>
          <w:rFonts w:ascii="Times New Roman" w:hAnsi="Times New Roman" w:cs="Times New Roman"/>
          <w:sz w:val="24"/>
          <w:szCs w:val="24"/>
        </w:rPr>
        <w:t>s website (http://www.sec.gov) or at the SEC</w:t>
      </w:r>
      <w:r w:rsidR="004F1EB1" w:rsidRPr="005A4C73">
        <w:rPr>
          <w:rFonts w:ascii="Times New Roman" w:hAnsi="Times New Roman" w:cs="Times New Roman"/>
          <w:sz w:val="24"/>
          <w:szCs w:val="24"/>
        </w:rPr>
        <w:t>’</w:t>
      </w:r>
      <w:r w:rsidRPr="005A4C73">
        <w:rPr>
          <w:rFonts w:ascii="Times New Roman" w:hAnsi="Times New Roman" w:cs="Times New Roman"/>
          <w:sz w:val="24"/>
          <w:szCs w:val="24"/>
        </w:rPr>
        <w:t>s public reference room at 100 F Street, NE, Room 1580, Washington, D.C. 20549. In addition, these documents can be obtained, without charge, by contacting the Company at the following address and/or telephone number:</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4BBB" w:rsidTr="00FD26F1">
        <w:tc>
          <w:tcPr>
            <w:tcW w:w="4788" w:type="dxa"/>
          </w:tcPr>
          <w:p w:rsidR="005A4C73" w:rsidRPr="005A4C73" w:rsidRDefault="00A47D7E" w:rsidP="005A4C73">
            <w:pPr>
              <w:jc w:val="both"/>
              <w:rPr>
                <w:rFonts w:ascii="Times New Roman" w:hAnsi="Times New Roman" w:cs="Times New Roman"/>
                <w:sz w:val="24"/>
                <w:szCs w:val="24"/>
              </w:rPr>
            </w:pPr>
            <w:r w:rsidRPr="005A4C73">
              <w:rPr>
                <w:rFonts w:ascii="Times New Roman" w:hAnsi="Times New Roman" w:cs="Times New Roman"/>
                <w:sz w:val="24"/>
                <w:szCs w:val="24"/>
              </w:rPr>
              <w:t>Company</w:t>
            </w:r>
          </w:p>
        </w:tc>
        <w:tc>
          <w:tcPr>
            <w:tcW w:w="4788" w:type="dxa"/>
          </w:tcPr>
          <w:p w:rsidR="005A4C73" w:rsidRPr="005A4C73" w:rsidRDefault="005A4C73" w:rsidP="005A4C73">
            <w:pPr>
              <w:jc w:val="both"/>
              <w:rPr>
                <w:rFonts w:ascii="Times New Roman" w:hAnsi="Times New Roman" w:cs="Times New Roman"/>
                <w:sz w:val="24"/>
                <w:szCs w:val="24"/>
              </w:rPr>
            </w:pPr>
            <w:bookmarkStart w:id="1" w:name="_GoBack"/>
            <w:bookmarkEnd w:id="1"/>
          </w:p>
        </w:tc>
      </w:tr>
      <w:tr w:rsidR="00B14BBB" w:rsidTr="00FD26F1">
        <w:tc>
          <w:tcPr>
            <w:tcW w:w="4788" w:type="dxa"/>
          </w:tcPr>
          <w:p w:rsidR="005A4C73" w:rsidRPr="005A4C73" w:rsidRDefault="005A4C73" w:rsidP="005A4C73">
            <w:pPr>
              <w:jc w:val="both"/>
              <w:rPr>
                <w:rFonts w:ascii="Times New Roman" w:hAnsi="Times New Roman" w:cs="Times New Roman"/>
                <w:sz w:val="24"/>
                <w:szCs w:val="24"/>
              </w:rPr>
            </w:pPr>
          </w:p>
          <w:p w:rsidR="005A4C73" w:rsidRPr="005A4C73" w:rsidRDefault="00A47D7E" w:rsidP="005A4C73">
            <w:pPr>
              <w:jc w:val="both"/>
              <w:rPr>
                <w:rFonts w:ascii="Times New Roman" w:hAnsi="Times New Roman" w:cs="Times New Roman"/>
                <w:sz w:val="24"/>
                <w:szCs w:val="24"/>
              </w:rPr>
            </w:pPr>
            <w:r w:rsidRPr="005A4C73">
              <w:rPr>
                <w:rFonts w:ascii="Times New Roman" w:hAnsi="Times New Roman" w:cs="Times New Roman"/>
                <w:sz w:val="24"/>
                <w:szCs w:val="24"/>
              </w:rPr>
              <w:t>Ning Liu     Senior Manager</w:t>
            </w:r>
          </w:p>
          <w:p w:rsidR="005A4C73" w:rsidRPr="005A4C73" w:rsidRDefault="005A4C73" w:rsidP="005A4C73">
            <w:pPr>
              <w:jc w:val="both"/>
              <w:rPr>
                <w:rFonts w:ascii="Times New Roman" w:hAnsi="Times New Roman" w:cs="Times New Roman"/>
                <w:sz w:val="24"/>
                <w:szCs w:val="24"/>
              </w:rPr>
            </w:pPr>
          </w:p>
          <w:p w:rsidR="005A4C73" w:rsidRPr="005A4C73" w:rsidRDefault="00A47D7E" w:rsidP="005A4C73">
            <w:pPr>
              <w:jc w:val="both"/>
              <w:rPr>
                <w:rFonts w:ascii="Times New Roman" w:hAnsi="Times New Roman" w:cs="Times New Roman"/>
                <w:sz w:val="24"/>
                <w:szCs w:val="24"/>
              </w:rPr>
            </w:pPr>
            <w:r w:rsidRPr="005A4C73">
              <w:rPr>
                <w:rFonts w:ascii="Times New Roman" w:hAnsi="Times New Roman" w:cs="Times New Roman"/>
                <w:sz w:val="24"/>
                <w:szCs w:val="24"/>
              </w:rPr>
              <w:t>NEWATER TECHNOLOGY INC.</w:t>
            </w:r>
          </w:p>
          <w:p w:rsidR="005A4C73" w:rsidRPr="005A4C73" w:rsidRDefault="005A4C73" w:rsidP="005A4C73">
            <w:pPr>
              <w:jc w:val="both"/>
              <w:rPr>
                <w:rFonts w:ascii="Times New Roman" w:hAnsi="Times New Roman" w:cs="Times New Roman"/>
                <w:sz w:val="24"/>
                <w:szCs w:val="24"/>
              </w:rPr>
            </w:pPr>
          </w:p>
          <w:p w:rsidR="005A4C73" w:rsidRPr="005A4C73" w:rsidRDefault="00A47D7E" w:rsidP="005A4C73">
            <w:pPr>
              <w:jc w:val="both"/>
              <w:rPr>
                <w:rFonts w:ascii="Times New Roman" w:hAnsi="Times New Roman" w:cs="Times New Roman"/>
                <w:sz w:val="24"/>
                <w:szCs w:val="24"/>
              </w:rPr>
            </w:pPr>
            <w:r w:rsidRPr="005A4C73">
              <w:rPr>
                <w:rFonts w:ascii="Times New Roman" w:hAnsi="Times New Roman" w:cs="Times New Roman"/>
                <w:sz w:val="24"/>
                <w:szCs w:val="24"/>
              </w:rPr>
              <w:t>Phone: +86 (535) 8012999</w:t>
            </w:r>
          </w:p>
          <w:p w:rsidR="005A4C73" w:rsidRPr="005A4C73" w:rsidRDefault="00A47D7E" w:rsidP="005A4C73">
            <w:pPr>
              <w:jc w:val="both"/>
              <w:rPr>
                <w:rFonts w:ascii="Times New Roman" w:hAnsi="Times New Roman" w:cs="Times New Roman"/>
                <w:sz w:val="24"/>
                <w:szCs w:val="24"/>
              </w:rPr>
            </w:pPr>
            <w:r w:rsidRPr="005A4C73">
              <w:rPr>
                <w:rFonts w:ascii="Times New Roman" w:hAnsi="Times New Roman" w:cs="Times New Roman"/>
                <w:sz w:val="24"/>
                <w:szCs w:val="24"/>
              </w:rPr>
              <w:t xml:space="preserve">            +86 15063837878</w:t>
            </w:r>
          </w:p>
          <w:p w:rsidR="005A4C73" w:rsidRPr="005A4C73" w:rsidRDefault="005A4C73" w:rsidP="005A4C73">
            <w:pPr>
              <w:jc w:val="both"/>
              <w:rPr>
                <w:rFonts w:ascii="Times New Roman" w:hAnsi="Times New Roman" w:cs="Times New Roman"/>
                <w:sz w:val="24"/>
                <w:szCs w:val="24"/>
              </w:rPr>
            </w:pPr>
          </w:p>
          <w:p w:rsidR="005A4C73" w:rsidRPr="005A4C73" w:rsidRDefault="00A47D7E" w:rsidP="005A4C73">
            <w:pPr>
              <w:jc w:val="both"/>
              <w:rPr>
                <w:rFonts w:ascii="Times New Roman" w:hAnsi="Times New Roman" w:cs="Times New Roman"/>
                <w:sz w:val="24"/>
                <w:szCs w:val="24"/>
              </w:rPr>
            </w:pPr>
            <w:r w:rsidRPr="005A4C73">
              <w:rPr>
                <w:rFonts w:ascii="Times New Roman" w:hAnsi="Times New Roman" w:cs="Times New Roman"/>
                <w:sz w:val="24"/>
                <w:szCs w:val="24"/>
              </w:rPr>
              <w:t>Email: office@dtnewa.com</w:t>
            </w:r>
          </w:p>
        </w:tc>
        <w:tc>
          <w:tcPr>
            <w:tcW w:w="4788" w:type="dxa"/>
          </w:tcPr>
          <w:p w:rsidR="005A4C73" w:rsidRPr="005A4C73" w:rsidRDefault="005A4C73" w:rsidP="005A4C73">
            <w:pPr>
              <w:jc w:val="both"/>
              <w:rPr>
                <w:rFonts w:ascii="Times New Roman" w:hAnsi="Times New Roman" w:cs="Times New Roman"/>
                <w:sz w:val="24"/>
                <w:szCs w:val="24"/>
              </w:rPr>
            </w:pPr>
          </w:p>
        </w:tc>
      </w:tr>
    </w:tbl>
    <w:p w:rsidR="004F1EB1" w:rsidRPr="005A4C73" w:rsidRDefault="004F1EB1" w:rsidP="005A4C73">
      <w:pPr>
        <w:jc w:val="both"/>
        <w:rPr>
          <w:rFonts w:ascii="Times New Roman" w:hAnsi="Times New Roman" w:cs="Times New Roman"/>
          <w:sz w:val="24"/>
          <w:szCs w:val="24"/>
          <w:highlight w:val="yellow"/>
        </w:rPr>
      </w:pPr>
    </w:p>
    <w:p w:rsidR="0057717F" w:rsidRPr="005A4C73" w:rsidRDefault="00A47D7E" w:rsidP="005A4C73">
      <w:pPr>
        <w:jc w:val="both"/>
        <w:rPr>
          <w:rFonts w:ascii="Times New Roman" w:hAnsi="Times New Roman" w:cs="Times New Roman"/>
          <w:b/>
          <w:sz w:val="24"/>
          <w:szCs w:val="24"/>
        </w:rPr>
      </w:pPr>
      <w:r w:rsidRPr="005A4C73">
        <w:rPr>
          <w:rFonts w:ascii="Times New Roman" w:hAnsi="Times New Roman" w:cs="Times New Roman"/>
          <w:b/>
          <w:sz w:val="24"/>
          <w:szCs w:val="24"/>
        </w:rPr>
        <w:t>No Offer or Solicitation</w:t>
      </w:r>
    </w:p>
    <w:p w:rsidR="0057717F" w:rsidRPr="005A4C73" w:rsidRDefault="00A47D7E" w:rsidP="005A4C73">
      <w:pPr>
        <w:jc w:val="both"/>
        <w:rPr>
          <w:rFonts w:ascii="Times New Roman" w:hAnsi="Times New Roman" w:cs="Times New Roman"/>
          <w:sz w:val="24"/>
          <w:szCs w:val="24"/>
        </w:rPr>
      </w:pPr>
      <w:r w:rsidRPr="005A4C73">
        <w:rPr>
          <w:rFonts w:ascii="Times New Roman" w:hAnsi="Times New Roman" w:cs="Times New Roman"/>
          <w:sz w:val="24"/>
          <w:szCs w:val="24"/>
        </w:rPr>
        <w:t>The information in this communication is for informational purposes only and is neither an offer to purchase, nor a solicitation of an offer to sell, subscribe for or buy any securities or the solicitation of any vote or approval in any jurisdiction pursuant to or in connection with the proposed transactions or otherwise, nor shall there be any sale, issuance or transfer of securities in any jurisdiction in contravention of applicable law. No offer of securities shall be made except by means of a prospectus meeting the requirements of Section 10 of the Securities Act of 1933, as amended, and otherwise in accordance with applicable law.</w:t>
      </w:r>
    </w:p>
    <w:p w:rsidR="0057717F" w:rsidRPr="005A4C73" w:rsidRDefault="00A47D7E" w:rsidP="005A4C73">
      <w:pPr>
        <w:jc w:val="both"/>
        <w:rPr>
          <w:rFonts w:ascii="Times New Roman" w:hAnsi="Times New Roman" w:cs="Times New Roman"/>
          <w:b/>
          <w:sz w:val="24"/>
          <w:szCs w:val="24"/>
        </w:rPr>
      </w:pPr>
      <w:proofErr w:type="gramStart"/>
      <w:r w:rsidRPr="005A4C73">
        <w:rPr>
          <w:rFonts w:ascii="Times New Roman" w:hAnsi="Times New Roman" w:cs="Times New Roman"/>
          <w:b/>
          <w:sz w:val="24"/>
          <w:szCs w:val="24"/>
        </w:rPr>
        <w:t>About Newater Technology, Inc.</w:t>
      </w:r>
      <w:proofErr w:type="gramEnd"/>
    </w:p>
    <w:p w:rsidR="004F1EB1" w:rsidRPr="005A4C73" w:rsidRDefault="00A47D7E" w:rsidP="005A4C73">
      <w:pPr>
        <w:adjustRightInd w:val="0"/>
        <w:snapToGrid w:val="0"/>
        <w:spacing w:after="240"/>
        <w:jc w:val="both"/>
        <w:rPr>
          <w:rFonts w:ascii="Times New Roman" w:hAnsi="Times New Roman" w:cs="Times New Roman"/>
          <w:sz w:val="24"/>
          <w:szCs w:val="24"/>
        </w:rPr>
      </w:pPr>
      <w:r w:rsidRPr="005A4C73">
        <w:rPr>
          <w:rFonts w:ascii="Times New Roman" w:hAnsi="Times New Roman" w:cs="Times New Roman"/>
          <w:sz w:val="24"/>
          <w:szCs w:val="24"/>
        </w:rPr>
        <w:t>Founded in 2012 and headquartered in Yantai, China, the Company, operating its business through its wholly owned subsidiary Yantai Jinzheng Eco-Technology Co. Ltd., specializes in the development, manufacture and sale of DTRO (Disk Tube Reverse Osmosis) and DTNF (Disk Tube Nano-Filtration) membranes for waste water treatment, recycling and discharge. Newater provides integrated technical solutions in engineering support and installation, technical advice and water purification services, and other project-related solutions to turn wastewater into valuable clean water. More information about the Company can be found at www.dtNEWA.com.</w:t>
      </w:r>
    </w:p>
    <w:p w:rsidR="004F1EB1" w:rsidRPr="005A4C73" w:rsidRDefault="00A47D7E" w:rsidP="005A4C73">
      <w:pPr>
        <w:adjustRightInd w:val="0"/>
        <w:snapToGrid w:val="0"/>
        <w:spacing w:after="240"/>
        <w:jc w:val="both"/>
        <w:rPr>
          <w:rFonts w:ascii="Times New Roman" w:hAnsi="Times New Roman" w:cs="Times New Roman"/>
          <w:sz w:val="24"/>
          <w:szCs w:val="24"/>
        </w:rPr>
      </w:pPr>
      <w:r w:rsidRPr="005A4C73">
        <w:rPr>
          <w:rFonts w:ascii="Times New Roman" w:hAnsi="Times New Roman" w:cs="Times New Roman"/>
          <w:sz w:val="24"/>
          <w:szCs w:val="24"/>
        </w:rPr>
        <w:t>The Company’s core business includes:</w:t>
      </w:r>
    </w:p>
    <w:p w:rsidR="004F1EB1" w:rsidRPr="005A4C73" w:rsidRDefault="00A47D7E" w:rsidP="005A4C73">
      <w:pPr>
        <w:tabs>
          <w:tab w:val="left" w:pos="993"/>
        </w:tabs>
        <w:adjustRightInd w:val="0"/>
        <w:snapToGrid w:val="0"/>
        <w:spacing w:after="240"/>
        <w:jc w:val="both"/>
        <w:rPr>
          <w:rFonts w:ascii="Times New Roman" w:hAnsi="Times New Roman" w:cs="Times New Roman"/>
          <w:sz w:val="24"/>
          <w:szCs w:val="24"/>
        </w:rPr>
      </w:pPr>
      <w:r w:rsidRPr="005A4C73">
        <w:rPr>
          <w:rFonts w:ascii="Times New Roman" w:hAnsi="Times New Roman" w:cs="Times New Roman"/>
          <w:sz w:val="24"/>
          <w:szCs w:val="24"/>
        </w:rPr>
        <w:lastRenderedPageBreak/>
        <w:t xml:space="preserve"> •</w:t>
      </w:r>
      <w:r w:rsidRPr="005A4C73">
        <w:rPr>
          <w:rFonts w:ascii="Times New Roman" w:hAnsi="Times New Roman" w:cs="Times New Roman"/>
          <w:sz w:val="24"/>
          <w:szCs w:val="24"/>
        </w:rPr>
        <w:tab/>
        <w:t xml:space="preserve"> </w:t>
      </w:r>
      <w:r w:rsidRPr="005A4C73">
        <w:rPr>
          <w:rFonts w:ascii="Times New Roman" w:hAnsi="Times New Roman" w:cs="Times New Roman"/>
          <w:sz w:val="24"/>
          <w:szCs w:val="24"/>
        </w:rPr>
        <w:tab/>
        <w:t>Reuse of high quality reclaimed water;</w:t>
      </w:r>
    </w:p>
    <w:p w:rsidR="004F1EB1" w:rsidRPr="005A4C73" w:rsidRDefault="00A47D7E" w:rsidP="005A4C73">
      <w:pPr>
        <w:adjustRightInd w:val="0"/>
        <w:snapToGrid w:val="0"/>
        <w:spacing w:after="240"/>
        <w:jc w:val="both"/>
        <w:rPr>
          <w:rFonts w:ascii="Times New Roman" w:hAnsi="Times New Roman" w:cs="Times New Roman"/>
          <w:sz w:val="24"/>
          <w:szCs w:val="24"/>
        </w:rPr>
      </w:pPr>
      <w:r w:rsidRPr="005A4C73">
        <w:rPr>
          <w:rFonts w:ascii="Times New Roman" w:hAnsi="Times New Roman" w:cs="Times New Roman"/>
          <w:sz w:val="24"/>
          <w:szCs w:val="24"/>
        </w:rPr>
        <w:t xml:space="preserve"> •</w:t>
      </w:r>
      <w:r w:rsidRPr="005A4C73">
        <w:rPr>
          <w:rFonts w:ascii="Times New Roman" w:hAnsi="Times New Roman" w:cs="Times New Roman"/>
          <w:sz w:val="24"/>
          <w:szCs w:val="24"/>
        </w:rPr>
        <w:tab/>
        <w:t xml:space="preserve"> </w:t>
      </w:r>
      <w:r w:rsidRPr="005A4C73">
        <w:rPr>
          <w:rFonts w:ascii="Times New Roman" w:hAnsi="Times New Roman" w:cs="Times New Roman"/>
          <w:sz w:val="24"/>
          <w:szCs w:val="24"/>
        </w:rPr>
        <w:tab/>
        <w:t>High-salt and high-polluting wastewater treatment and near zero-liquid discharge;</w:t>
      </w:r>
    </w:p>
    <w:p w:rsidR="004F1EB1" w:rsidRPr="005A4C73" w:rsidRDefault="00A47D7E" w:rsidP="005A4C73">
      <w:pPr>
        <w:adjustRightInd w:val="0"/>
        <w:snapToGrid w:val="0"/>
        <w:spacing w:after="240"/>
        <w:jc w:val="both"/>
        <w:rPr>
          <w:rFonts w:ascii="Times New Roman" w:hAnsi="Times New Roman" w:cs="Times New Roman"/>
          <w:sz w:val="24"/>
          <w:szCs w:val="24"/>
        </w:rPr>
      </w:pPr>
      <w:r w:rsidRPr="005A4C73">
        <w:rPr>
          <w:rFonts w:ascii="Times New Roman" w:hAnsi="Times New Roman" w:cs="Times New Roman"/>
          <w:sz w:val="24"/>
          <w:szCs w:val="24"/>
        </w:rPr>
        <w:t xml:space="preserve"> •</w:t>
      </w:r>
      <w:r w:rsidRPr="005A4C73">
        <w:rPr>
          <w:rFonts w:ascii="Times New Roman" w:hAnsi="Times New Roman" w:cs="Times New Roman"/>
          <w:sz w:val="24"/>
          <w:szCs w:val="24"/>
        </w:rPr>
        <w:tab/>
        <w:t xml:space="preserve"> </w:t>
      </w:r>
      <w:r w:rsidRPr="005A4C73">
        <w:rPr>
          <w:rFonts w:ascii="Times New Roman" w:hAnsi="Times New Roman" w:cs="Times New Roman"/>
          <w:sz w:val="24"/>
          <w:szCs w:val="24"/>
        </w:rPr>
        <w:tab/>
        <w:t>Highly efficient treatment of Landfill leachate; and</w:t>
      </w:r>
    </w:p>
    <w:p w:rsidR="004F1EB1" w:rsidRPr="005A4C73" w:rsidRDefault="00A47D7E" w:rsidP="005A4C73">
      <w:pPr>
        <w:adjustRightInd w:val="0"/>
        <w:snapToGrid w:val="0"/>
        <w:spacing w:after="240"/>
        <w:jc w:val="both"/>
        <w:rPr>
          <w:rFonts w:ascii="Times New Roman" w:hAnsi="Times New Roman" w:cs="Times New Roman"/>
          <w:sz w:val="24"/>
          <w:szCs w:val="24"/>
        </w:rPr>
      </w:pPr>
      <w:r w:rsidRPr="005A4C73">
        <w:rPr>
          <w:rFonts w:ascii="Times New Roman" w:hAnsi="Times New Roman" w:cs="Times New Roman"/>
          <w:sz w:val="24"/>
          <w:szCs w:val="24"/>
        </w:rPr>
        <w:t xml:space="preserve"> •</w:t>
      </w:r>
      <w:r w:rsidRPr="005A4C73">
        <w:rPr>
          <w:rFonts w:ascii="Times New Roman" w:hAnsi="Times New Roman" w:cs="Times New Roman"/>
          <w:sz w:val="24"/>
          <w:szCs w:val="24"/>
        </w:rPr>
        <w:tab/>
        <w:t xml:space="preserve"> </w:t>
      </w:r>
      <w:r w:rsidRPr="005A4C73">
        <w:rPr>
          <w:rFonts w:ascii="Times New Roman" w:hAnsi="Times New Roman" w:cs="Times New Roman"/>
          <w:sz w:val="24"/>
          <w:szCs w:val="24"/>
        </w:rPr>
        <w:tab/>
        <w:t>Utilization of acid or alkali-containing wastewater as resources</w:t>
      </w:r>
    </w:p>
    <w:p w:rsidR="004F1EB1" w:rsidRPr="005A4C73" w:rsidRDefault="00A47D7E" w:rsidP="005A4C73">
      <w:pPr>
        <w:adjustRightInd w:val="0"/>
        <w:snapToGrid w:val="0"/>
        <w:spacing w:after="240"/>
        <w:jc w:val="both"/>
        <w:rPr>
          <w:rFonts w:ascii="Times New Roman" w:hAnsi="Times New Roman" w:cs="Times New Roman"/>
          <w:sz w:val="24"/>
          <w:szCs w:val="24"/>
        </w:rPr>
      </w:pPr>
      <w:r w:rsidRPr="005A4C73">
        <w:rPr>
          <w:rFonts w:ascii="Times New Roman" w:hAnsi="Times New Roman" w:cs="Times New Roman"/>
          <w:sz w:val="24"/>
          <w:szCs w:val="24"/>
        </w:rPr>
        <w:t>More information about the Company can be found at: www.dtNEWA.com</w:t>
      </w:r>
    </w:p>
    <w:p w:rsidR="00EC60C8" w:rsidRDefault="00EC60C8" w:rsidP="005A4C73">
      <w:pPr>
        <w:jc w:val="both"/>
        <w:rPr>
          <w:rFonts w:ascii="Times New Roman" w:hAnsi="Times New Roman" w:cs="Times New Roman"/>
          <w:b/>
          <w:sz w:val="24"/>
          <w:szCs w:val="24"/>
        </w:rPr>
      </w:pPr>
    </w:p>
    <w:p w:rsidR="0057717F" w:rsidRPr="005A4C73" w:rsidRDefault="00A47D7E" w:rsidP="005A4C73">
      <w:pPr>
        <w:jc w:val="both"/>
        <w:rPr>
          <w:rFonts w:ascii="Times New Roman" w:hAnsi="Times New Roman" w:cs="Times New Roman"/>
          <w:b/>
          <w:sz w:val="24"/>
          <w:szCs w:val="24"/>
        </w:rPr>
      </w:pPr>
      <w:r w:rsidRPr="005A4C73">
        <w:rPr>
          <w:rFonts w:ascii="Times New Roman" w:hAnsi="Times New Roman" w:cs="Times New Roman"/>
          <w:b/>
          <w:sz w:val="24"/>
          <w:szCs w:val="24"/>
        </w:rPr>
        <w:t>Safe Harbor Provision</w:t>
      </w:r>
    </w:p>
    <w:p w:rsidR="0057717F" w:rsidRPr="005A4C73" w:rsidRDefault="00A47D7E" w:rsidP="005A4C73">
      <w:pPr>
        <w:jc w:val="both"/>
        <w:rPr>
          <w:rFonts w:ascii="Times New Roman" w:hAnsi="Times New Roman" w:cs="Times New Roman"/>
          <w:sz w:val="24"/>
          <w:szCs w:val="24"/>
        </w:rPr>
      </w:pPr>
      <w:r w:rsidRPr="005A4C73">
        <w:rPr>
          <w:rFonts w:ascii="Times New Roman" w:hAnsi="Times New Roman" w:cs="Times New Roman"/>
          <w:sz w:val="24"/>
          <w:szCs w:val="24"/>
        </w:rPr>
        <w:t>This press release contains forward-looking statements made pursuant to the safe harbor provisions of the Private Securities Litigation Reform Act of 1995. These forward-looking statements are based on management</w:t>
      </w:r>
      <w:r w:rsidR="004F1EB1" w:rsidRPr="005A4C73">
        <w:rPr>
          <w:rFonts w:ascii="Times New Roman" w:hAnsi="Times New Roman" w:cs="Times New Roman"/>
          <w:sz w:val="24"/>
          <w:szCs w:val="24"/>
        </w:rPr>
        <w:t>’</w:t>
      </w:r>
      <w:r w:rsidRPr="005A4C73">
        <w:rPr>
          <w:rFonts w:ascii="Times New Roman" w:hAnsi="Times New Roman" w:cs="Times New Roman"/>
          <w:sz w:val="24"/>
          <w:szCs w:val="24"/>
        </w:rPr>
        <w:t>s current expectations and observations and involve known and unknown risks, and uncertainties or other factors not under the Company</w:t>
      </w:r>
      <w:r w:rsidR="004F1EB1" w:rsidRPr="005A4C73">
        <w:rPr>
          <w:rFonts w:ascii="Times New Roman" w:hAnsi="Times New Roman" w:cs="Times New Roman"/>
          <w:sz w:val="24"/>
          <w:szCs w:val="24"/>
        </w:rPr>
        <w:t>’</w:t>
      </w:r>
      <w:r w:rsidRPr="005A4C73">
        <w:rPr>
          <w:rFonts w:ascii="Times New Roman" w:hAnsi="Times New Roman" w:cs="Times New Roman"/>
          <w:sz w:val="24"/>
          <w:szCs w:val="24"/>
        </w:rPr>
        <w:t>s control, which may cause actual results, performance or achievements of the company to be materially different from the results, performance or other expectations implied by these forward-looking statements. These factors are listed from time-to-time in our filings with the Securities and Exchange Commission, including, without limitation, our Annual Report on Form 20-F for th</w:t>
      </w:r>
      <w:r w:rsidR="004F1EB1" w:rsidRPr="005A4C73">
        <w:rPr>
          <w:rFonts w:ascii="Times New Roman" w:hAnsi="Times New Roman" w:cs="Times New Roman"/>
          <w:sz w:val="24"/>
          <w:szCs w:val="24"/>
        </w:rPr>
        <w:t>e period ended December 31, 2019</w:t>
      </w:r>
      <w:r w:rsidRPr="005A4C73">
        <w:rPr>
          <w:rFonts w:ascii="Times New Roman" w:hAnsi="Times New Roman" w:cs="Times New Roman"/>
          <w:sz w:val="24"/>
          <w:szCs w:val="24"/>
        </w:rPr>
        <w:t xml:space="preserve"> and our subsequent reports on Form 6-K. Except as required by law, we are not under any obligation, and expressly disclaim any obligation, to update or alter any forward-looking statements, whether as a result of new information, future events or otherwise.</w:t>
      </w:r>
    </w:p>
    <w:p w:rsidR="00754600" w:rsidRDefault="00754600"/>
    <w:sectPr w:rsidR="00754600" w:rsidSect="005A4C73">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EF" w:rsidRDefault="00D47DEF">
      <w:pPr>
        <w:spacing w:after="0" w:line="240" w:lineRule="auto"/>
      </w:pPr>
      <w:r>
        <w:separator/>
      </w:r>
    </w:p>
  </w:endnote>
  <w:endnote w:type="continuationSeparator" w:id="0">
    <w:p w:rsidR="00D47DEF" w:rsidRDefault="00D4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77610"/>
      <w:docPartObj>
        <w:docPartGallery w:val="Page Numbers (Bottom of Page)"/>
        <w:docPartUnique/>
      </w:docPartObj>
    </w:sdtPr>
    <w:sdtEndPr/>
    <w:sdtContent>
      <w:p w:rsidR="005A4C73" w:rsidRDefault="003F3790">
        <w:pPr>
          <w:pStyle w:val="a8"/>
          <w:jc w:val="center"/>
        </w:pPr>
        <w:r w:rsidRPr="005A4C73">
          <w:rPr>
            <w:rFonts w:ascii="Times New Roman" w:hAnsi="Times New Roman" w:cs="Times New Roman"/>
          </w:rPr>
          <w:fldChar w:fldCharType="begin"/>
        </w:r>
        <w:r w:rsidR="00A47D7E" w:rsidRPr="005A4C73">
          <w:rPr>
            <w:rFonts w:ascii="Times New Roman" w:hAnsi="Times New Roman" w:cs="Times New Roman"/>
          </w:rPr>
          <w:instrText xml:space="preserve"> PAGE   \* MERGEFORMAT </w:instrText>
        </w:r>
        <w:r w:rsidRPr="005A4C73">
          <w:rPr>
            <w:rFonts w:ascii="Times New Roman" w:hAnsi="Times New Roman" w:cs="Times New Roman"/>
          </w:rPr>
          <w:fldChar w:fldCharType="separate"/>
        </w:r>
        <w:r w:rsidR="00C5272E" w:rsidRPr="00C5272E">
          <w:rPr>
            <w:rFonts w:ascii="Times New Roman" w:hAnsi="Times New Roman" w:cs="Times New Roman"/>
            <w:noProof/>
            <w:lang w:val="zh-CN"/>
          </w:rPr>
          <w:t>3</w:t>
        </w:r>
        <w:r w:rsidRPr="005A4C73">
          <w:rPr>
            <w:rFonts w:ascii="Times New Roman" w:hAnsi="Times New Roman" w:cs="Times New Roman"/>
          </w:rPr>
          <w:fldChar w:fldCharType="end"/>
        </w:r>
      </w:p>
    </w:sdtContent>
  </w:sdt>
  <w:p w:rsidR="005A4C73" w:rsidRDefault="005A4C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EF" w:rsidRDefault="00D47DEF">
      <w:pPr>
        <w:spacing w:after="0" w:line="240" w:lineRule="auto"/>
      </w:pPr>
      <w:r>
        <w:separator/>
      </w:r>
    </w:p>
  </w:footnote>
  <w:footnote w:type="continuationSeparator" w:id="0">
    <w:p w:rsidR="00D47DEF" w:rsidRDefault="00D47D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717F"/>
    <w:rsid w:val="00015008"/>
    <w:rsid w:val="000512F2"/>
    <w:rsid w:val="000F1AD1"/>
    <w:rsid w:val="001D22F4"/>
    <w:rsid w:val="001E1C4B"/>
    <w:rsid w:val="001F5610"/>
    <w:rsid w:val="00241907"/>
    <w:rsid w:val="00272F04"/>
    <w:rsid w:val="002758FA"/>
    <w:rsid w:val="002E5B45"/>
    <w:rsid w:val="00306442"/>
    <w:rsid w:val="00312FC2"/>
    <w:rsid w:val="003661B2"/>
    <w:rsid w:val="003863A2"/>
    <w:rsid w:val="003A0891"/>
    <w:rsid w:val="003F3790"/>
    <w:rsid w:val="003F40C6"/>
    <w:rsid w:val="00457691"/>
    <w:rsid w:val="00473724"/>
    <w:rsid w:val="004F1EB1"/>
    <w:rsid w:val="0057717F"/>
    <w:rsid w:val="005954BF"/>
    <w:rsid w:val="005A4C73"/>
    <w:rsid w:val="005B41AE"/>
    <w:rsid w:val="00650860"/>
    <w:rsid w:val="006738DA"/>
    <w:rsid w:val="006F4E6D"/>
    <w:rsid w:val="006F6D0C"/>
    <w:rsid w:val="007073FA"/>
    <w:rsid w:val="00711F63"/>
    <w:rsid w:val="00754600"/>
    <w:rsid w:val="007E46A6"/>
    <w:rsid w:val="007F65EA"/>
    <w:rsid w:val="00842F60"/>
    <w:rsid w:val="00861375"/>
    <w:rsid w:val="00876C28"/>
    <w:rsid w:val="00880348"/>
    <w:rsid w:val="008B71D8"/>
    <w:rsid w:val="009313F6"/>
    <w:rsid w:val="009805D0"/>
    <w:rsid w:val="009B0F6C"/>
    <w:rsid w:val="009C1821"/>
    <w:rsid w:val="009C37CF"/>
    <w:rsid w:val="009C3B24"/>
    <w:rsid w:val="009E3A50"/>
    <w:rsid w:val="00A379B3"/>
    <w:rsid w:val="00A40E71"/>
    <w:rsid w:val="00A47D7E"/>
    <w:rsid w:val="00A75988"/>
    <w:rsid w:val="00A82886"/>
    <w:rsid w:val="00B14BBB"/>
    <w:rsid w:val="00B44EB5"/>
    <w:rsid w:val="00BA1AAE"/>
    <w:rsid w:val="00BD09AC"/>
    <w:rsid w:val="00C5272E"/>
    <w:rsid w:val="00C81DE1"/>
    <w:rsid w:val="00C8528D"/>
    <w:rsid w:val="00C92678"/>
    <w:rsid w:val="00D47DEF"/>
    <w:rsid w:val="00D54ABE"/>
    <w:rsid w:val="00EC60C8"/>
    <w:rsid w:val="00EE7C59"/>
    <w:rsid w:val="00F06F9D"/>
    <w:rsid w:val="00F1783E"/>
    <w:rsid w:val="00F46AB9"/>
    <w:rsid w:val="00F6709C"/>
    <w:rsid w:val="00F67CD2"/>
    <w:rsid w:val="00FA1B90"/>
    <w:rsid w:val="00FB75AF"/>
    <w:rsid w:val="00FB7B18"/>
    <w:rsid w:val="00FC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F5610"/>
    <w:pPr>
      <w:spacing w:after="0" w:line="240" w:lineRule="auto"/>
    </w:pPr>
    <w:rPr>
      <w:sz w:val="20"/>
      <w:szCs w:val="20"/>
    </w:rPr>
  </w:style>
  <w:style w:type="character" w:customStyle="1" w:styleId="Char">
    <w:name w:val="脚注文本 Char"/>
    <w:basedOn w:val="a0"/>
    <w:link w:val="a3"/>
    <w:uiPriority w:val="99"/>
    <w:semiHidden/>
    <w:rsid w:val="001F5610"/>
    <w:rPr>
      <w:sz w:val="20"/>
      <w:szCs w:val="20"/>
    </w:rPr>
  </w:style>
  <w:style w:type="character" w:styleId="a4">
    <w:name w:val="footnote reference"/>
    <w:uiPriority w:val="99"/>
    <w:semiHidden/>
    <w:rsid w:val="001F5610"/>
    <w:rPr>
      <w:rFonts w:ascii="Times New Roman" w:eastAsia="华文中宋"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rPr>
  </w:style>
  <w:style w:type="character" w:styleId="a5">
    <w:name w:val="Hyperlink"/>
    <w:basedOn w:val="a0"/>
    <w:uiPriority w:val="99"/>
    <w:unhideWhenUsed/>
    <w:rsid w:val="004F1EB1"/>
    <w:rPr>
      <w:color w:val="0000FF" w:themeColor="hyperlink"/>
      <w:u w:val="single"/>
    </w:rPr>
  </w:style>
  <w:style w:type="table" w:styleId="a6">
    <w:name w:val="Table Grid"/>
    <w:basedOn w:val="a1"/>
    <w:uiPriority w:val="59"/>
    <w:rsid w:val="005A4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semiHidden/>
    <w:unhideWhenUsed/>
    <w:rsid w:val="005A4C73"/>
    <w:pPr>
      <w:tabs>
        <w:tab w:val="center" w:pos="4680"/>
        <w:tab w:val="right" w:pos="9360"/>
      </w:tabs>
      <w:spacing w:after="0" w:line="240" w:lineRule="auto"/>
    </w:pPr>
  </w:style>
  <w:style w:type="character" w:customStyle="1" w:styleId="Char0">
    <w:name w:val="页眉 Char"/>
    <w:basedOn w:val="a0"/>
    <w:link w:val="a7"/>
    <w:uiPriority w:val="99"/>
    <w:semiHidden/>
    <w:rsid w:val="005A4C73"/>
  </w:style>
  <w:style w:type="paragraph" w:styleId="a8">
    <w:name w:val="footer"/>
    <w:basedOn w:val="a"/>
    <w:link w:val="Char1"/>
    <w:uiPriority w:val="99"/>
    <w:unhideWhenUsed/>
    <w:rsid w:val="005A4C73"/>
    <w:pPr>
      <w:tabs>
        <w:tab w:val="center" w:pos="4680"/>
        <w:tab w:val="right" w:pos="9360"/>
      </w:tabs>
      <w:spacing w:after="0" w:line="240" w:lineRule="auto"/>
    </w:pPr>
  </w:style>
  <w:style w:type="character" w:customStyle="1" w:styleId="Char1">
    <w:name w:val="页脚 Char"/>
    <w:basedOn w:val="a0"/>
    <w:link w:val="a8"/>
    <w:uiPriority w:val="99"/>
    <w:rsid w:val="005A4C73"/>
  </w:style>
  <w:style w:type="paragraph" w:styleId="a9">
    <w:name w:val="Balloon Text"/>
    <w:basedOn w:val="a"/>
    <w:link w:val="Char2"/>
    <w:uiPriority w:val="99"/>
    <w:semiHidden/>
    <w:unhideWhenUsed/>
    <w:rsid w:val="009313F6"/>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9313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 A S I A M A T T E R S ! 2 6 4 5 4 1 9 8 . 1 < / d o c u m e n t i d >  
     < s e n d e r i d > J I N S H < / s e n d e r i d >  
     < s e n d e r e m a i l > S H E N G L A N . J I N @ D L A P I P E R . C O M < / s e n d e r e m a i l >  
     < l a s t m o d i f i e d > 2 0 2 0 - 0 9 - 2 9 T 1 8 : 3 4 : 0 0 . 0 0 0 0 0 0 0 + 0 8 : 0 0 < / l a s t m o d i f i e d >  
     < d a t a b a s e > A S I A M A T T E R S < / 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E78DA-2811-4243-B62E-87E2287197BB}">
  <ds:schemaRefs>
    <ds:schemaRef ds:uri="http://www.imanage.com/work/xmlschema"/>
  </ds:schemaRefs>
</ds:datastoreItem>
</file>

<file path=customXml/itemProps2.xml><?xml version="1.0" encoding="utf-8"?>
<ds:datastoreItem xmlns:ds="http://schemas.openxmlformats.org/officeDocument/2006/customXml" ds:itemID="{388F981C-AF77-4590-9A61-F9FB0252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孙德祺</cp:lastModifiedBy>
  <cp:revision>4</cp:revision>
  <dcterms:created xsi:type="dcterms:W3CDTF">2020-09-29T12:13:00Z</dcterms:created>
  <dcterms:modified xsi:type="dcterms:W3CDTF">2020-09-29T13:53:00Z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7e8ecd4a-61d5-4863-ae90-0f2964e8996a</vt:lpwstr>
  </property>
  <property fmtid="{D5CDD505-2E9C-101B-9397-08002B2CF9AE}" pid="3" name="Plato Matter Owner Designation">
    <vt:lpwstr/>
  </property>
</Properties>
</file>