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897A4" w14:textId="77777777" w:rsidR="006554A6" w:rsidRPr="006554A6" w:rsidRDefault="006554A6" w:rsidP="006554A6">
      <w:pPr>
        <w:spacing w:after="0" w:line="240" w:lineRule="auto"/>
        <w:rPr>
          <w:rFonts w:ascii="Times New Roman" w:eastAsia="Times New Roman" w:hAnsi="Times New Roman" w:cs="Times New Roman"/>
          <w:sz w:val="2"/>
          <w:szCs w:val="2"/>
        </w:rPr>
      </w:pPr>
      <w:bookmarkStart w:id="0" w:name="gfpea122632-6k_newatertech.htm"/>
      <w:bookmarkEnd w:id="0"/>
      <w:r w:rsidRPr="006554A6">
        <w:rPr>
          <w:rFonts w:ascii="Times New Roman" w:eastAsia="Times New Roman" w:hAnsi="Times New Roman" w:cs="Times New Roman"/>
          <w:sz w:val="2"/>
          <w:szCs w:val="2"/>
        </w:rPr>
        <w:t> </w:t>
      </w:r>
    </w:p>
    <w:p w14:paraId="034E5C6D"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703C8029" w14:textId="77777777" w:rsidR="006554A6" w:rsidRPr="006554A6" w:rsidRDefault="006554A6" w:rsidP="006554A6">
      <w:pPr>
        <w:spacing w:after="0" w:line="240" w:lineRule="auto"/>
        <w:jc w:val="center"/>
        <w:rPr>
          <w:rFonts w:ascii="Times New Roman" w:eastAsia="Times New Roman" w:hAnsi="Times New Roman" w:cs="Times New Roman"/>
          <w:sz w:val="20"/>
          <w:szCs w:val="20"/>
        </w:rPr>
      </w:pPr>
      <w:r w:rsidRPr="006554A6">
        <w:rPr>
          <w:rFonts w:ascii="Times New Roman" w:eastAsia="Times New Roman" w:hAnsi="Times New Roman" w:cs="Times New Roman"/>
          <w:b/>
          <w:bCs/>
          <w:sz w:val="20"/>
          <w:szCs w:val="20"/>
        </w:rPr>
        <w:t>UNITED STATES</w:t>
      </w:r>
    </w:p>
    <w:p w14:paraId="5C0D986F" w14:textId="77777777" w:rsidR="006554A6" w:rsidRPr="006554A6" w:rsidRDefault="006554A6" w:rsidP="006554A6">
      <w:pPr>
        <w:spacing w:after="0" w:line="240" w:lineRule="auto"/>
        <w:jc w:val="center"/>
        <w:rPr>
          <w:rFonts w:ascii="Times New Roman" w:eastAsia="Times New Roman" w:hAnsi="Times New Roman" w:cs="Times New Roman"/>
          <w:sz w:val="20"/>
          <w:szCs w:val="20"/>
        </w:rPr>
      </w:pPr>
      <w:r w:rsidRPr="006554A6">
        <w:rPr>
          <w:rFonts w:ascii="Times New Roman" w:eastAsia="Times New Roman" w:hAnsi="Times New Roman" w:cs="Times New Roman"/>
          <w:b/>
          <w:bCs/>
          <w:sz w:val="20"/>
          <w:szCs w:val="20"/>
        </w:rPr>
        <w:t>SECURITIES AND EXCHANGE COMMISSION</w:t>
      </w:r>
    </w:p>
    <w:p w14:paraId="109DCEB1" w14:textId="77777777" w:rsidR="006554A6" w:rsidRPr="006554A6" w:rsidRDefault="006554A6" w:rsidP="006554A6">
      <w:pPr>
        <w:spacing w:after="0" w:line="240" w:lineRule="auto"/>
        <w:jc w:val="center"/>
        <w:rPr>
          <w:rFonts w:ascii="Times New Roman" w:eastAsia="Times New Roman" w:hAnsi="Times New Roman" w:cs="Times New Roman"/>
          <w:sz w:val="20"/>
          <w:szCs w:val="20"/>
        </w:rPr>
      </w:pPr>
      <w:r w:rsidRPr="006554A6">
        <w:rPr>
          <w:rFonts w:ascii="Times New Roman" w:eastAsia="Times New Roman" w:hAnsi="Times New Roman" w:cs="Times New Roman"/>
          <w:b/>
          <w:bCs/>
          <w:sz w:val="20"/>
          <w:szCs w:val="20"/>
        </w:rPr>
        <w:t>Washington, D.C. 20549</w:t>
      </w:r>
    </w:p>
    <w:p w14:paraId="110F1327" w14:textId="77777777" w:rsidR="006554A6" w:rsidRPr="006554A6" w:rsidRDefault="006554A6" w:rsidP="006554A6">
      <w:pPr>
        <w:spacing w:after="0" w:line="240" w:lineRule="auto"/>
        <w:jc w:val="center"/>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0A5E7126" w14:textId="77777777" w:rsidR="006554A6" w:rsidRPr="006554A6" w:rsidRDefault="006554A6" w:rsidP="006554A6">
      <w:pPr>
        <w:spacing w:after="0" w:line="240" w:lineRule="auto"/>
        <w:jc w:val="center"/>
        <w:rPr>
          <w:rFonts w:ascii="Times New Roman" w:eastAsia="Times New Roman" w:hAnsi="Times New Roman" w:cs="Times New Roman"/>
          <w:sz w:val="20"/>
          <w:szCs w:val="20"/>
        </w:rPr>
      </w:pPr>
      <w:r w:rsidRPr="006554A6">
        <w:rPr>
          <w:rFonts w:ascii="Times New Roman" w:eastAsia="Times New Roman" w:hAnsi="Times New Roman" w:cs="Times New Roman"/>
          <w:b/>
          <w:bCs/>
          <w:sz w:val="20"/>
          <w:szCs w:val="20"/>
        </w:rPr>
        <w:t>FORM 6-K</w:t>
      </w:r>
    </w:p>
    <w:p w14:paraId="64277833" w14:textId="77777777" w:rsidR="006554A6" w:rsidRPr="006554A6" w:rsidRDefault="006554A6" w:rsidP="006554A6">
      <w:pPr>
        <w:spacing w:after="0" w:line="240" w:lineRule="auto"/>
        <w:jc w:val="center"/>
        <w:rPr>
          <w:rFonts w:ascii="Times New Roman" w:eastAsia="Times New Roman" w:hAnsi="Times New Roman" w:cs="Times New Roman"/>
          <w:sz w:val="20"/>
          <w:szCs w:val="20"/>
        </w:rPr>
      </w:pPr>
      <w:r w:rsidRPr="006554A6">
        <w:rPr>
          <w:rFonts w:ascii="Times New Roman" w:eastAsia="Times New Roman" w:hAnsi="Times New Roman" w:cs="Times New Roman"/>
          <w:b/>
          <w:bCs/>
          <w:sz w:val="20"/>
          <w:szCs w:val="20"/>
        </w:rPr>
        <w:t> </w:t>
      </w:r>
    </w:p>
    <w:p w14:paraId="593B1B9C" w14:textId="77777777" w:rsidR="006554A6" w:rsidRPr="006554A6" w:rsidRDefault="006554A6" w:rsidP="006554A6">
      <w:pPr>
        <w:spacing w:after="0" w:line="240" w:lineRule="auto"/>
        <w:jc w:val="center"/>
        <w:rPr>
          <w:rFonts w:ascii="Times New Roman" w:eastAsia="Times New Roman" w:hAnsi="Times New Roman" w:cs="Times New Roman"/>
          <w:sz w:val="20"/>
          <w:szCs w:val="20"/>
        </w:rPr>
      </w:pPr>
      <w:r w:rsidRPr="006554A6">
        <w:rPr>
          <w:rFonts w:ascii="Times New Roman" w:eastAsia="Times New Roman" w:hAnsi="Times New Roman" w:cs="Times New Roman"/>
          <w:b/>
          <w:bCs/>
          <w:sz w:val="20"/>
          <w:szCs w:val="20"/>
        </w:rPr>
        <w:t>REPORT OF FOREIGN PRIVATE ISSUER PURSUANT TO RULE 13a-16</w:t>
      </w:r>
    </w:p>
    <w:p w14:paraId="4B9F1CC4" w14:textId="77777777" w:rsidR="006554A6" w:rsidRPr="006554A6" w:rsidRDefault="006554A6" w:rsidP="006554A6">
      <w:pPr>
        <w:spacing w:after="0" w:line="240" w:lineRule="auto"/>
        <w:jc w:val="center"/>
        <w:rPr>
          <w:rFonts w:ascii="Times New Roman" w:eastAsia="Times New Roman" w:hAnsi="Times New Roman" w:cs="Times New Roman"/>
          <w:sz w:val="20"/>
          <w:szCs w:val="20"/>
        </w:rPr>
      </w:pPr>
      <w:r w:rsidRPr="006554A6">
        <w:rPr>
          <w:rFonts w:ascii="Times New Roman" w:eastAsia="Times New Roman" w:hAnsi="Times New Roman" w:cs="Times New Roman"/>
          <w:b/>
          <w:bCs/>
          <w:sz w:val="20"/>
          <w:szCs w:val="20"/>
        </w:rPr>
        <w:t xml:space="preserve">OR 15d-16 UNDER THE SECURITIES EXCHANGE ACT OF 1934 </w:t>
      </w:r>
    </w:p>
    <w:p w14:paraId="321F7707" w14:textId="77777777" w:rsidR="006554A6" w:rsidRPr="006554A6" w:rsidRDefault="006554A6" w:rsidP="006554A6">
      <w:pPr>
        <w:spacing w:after="0" w:line="240" w:lineRule="auto"/>
        <w:jc w:val="center"/>
        <w:rPr>
          <w:rFonts w:ascii="Times New Roman" w:eastAsia="Times New Roman" w:hAnsi="Times New Roman" w:cs="Times New Roman"/>
          <w:sz w:val="20"/>
          <w:szCs w:val="20"/>
        </w:rPr>
      </w:pPr>
      <w:r w:rsidRPr="006554A6">
        <w:rPr>
          <w:rFonts w:ascii="Times New Roman" w:eastAsia="Times New Roman" w:hAnsi="Times New Roman" w:cs="Times New Roman"/>
          <w:b/>
          <w:bCs/>
          <w:sz w:val="20"/>
          <w:szCs w:val="20"/>
        </w:rPr>
        <w:t> </w:t>
      </w:r>
    </w:p>
    <w:p w14:paraId="7C2609A0" w14:textId="77777777" w:rsidR="006554A6" w:rsidRPr="006554A6" w:rsidRDefault="006554A6" w:rsidP="006554A6">
      <w:pPr>
        <w:spacing w:after="0" w:line="240" w:lineRule="auto"/>
        <w:jc w:val="center"/>
        <w:rPr>
          <w:rFonts w:ascii="Times New Roman" w:eastAsia="Times New Roman" w:hAnsi="Times New Roman" w:cs="Times New Roman"/>
          <w:sz w:val="20"/>
          <w:szCs w:val="20"/>
        </w:rPr>
      </w:pPr>
      <w:r w:rsidRPr="006554A6">
        <w:rPr>
          <w:rFonts w:ascii="Times New Roman" w:eastAsia="Times New Roman" w:hAnsi="Times New Roman" w:cs="Times New Roman"/>
          <w:b/>
          <w:bCs/>
          <w:sz w:val="20"/>
          <w:szCs w:val="20"/>
        </w:rPr>
        <w:t xml:space="preserve">For the month of June 2020 </w:t>
      </w:r>
    </w:p>
    <w:p w14:paraId="5A4C4745" w14:textId="77777777" w:rsidR="006554A6" w:rsidRPr="006554A6" w:rsidRDefault="006554A6" w:rsidP="006554A6">
      <w:pPr>
        <w:spacing w:after="0" w:line="240" w:lineRule="auto"/>
        <w:jc w:val="center"/>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3B56FD8E" w14:textId="77777777" w:rsidR="006554A6" w:rsidRPr="006554A6" w:rsidRDefault="006554A6" w:rsidP="006554A6">
      <w:pPr>
        <w:spacing w:after="0" w:line="240" w:lineRule="auto"/>
        <w:jc w:val="center"/>
        <w:rPr>
          <w:rFonts w:ascii="Times New Roman" w:eastAsia="Times New Roman" w:hAnsi="Times New Roman" w:cs="Times New Roman"/>
          <w:sz w:val="20"/>
          <w:szCs w:val="20"/>
        </w:rPr>
      </w:pPr>
      <w:r w:rsidRPr="006554A6">
        <w:rPr>
          <w:rFonts w:ascii="Times New Roman" w:eastAsia="Times New Roman" w:hAnsi="Times New Roman" w:cs="Times New Roman"/>
          <w:b/>
          <w:bCs/>
          <w:sz w:val="20"/>
          <w:szCs w:val="20"/>
        </w:rPr>
        <w:t>Commission file number: 001-38170</w:t>
      </w:r>
    </w:p>
    <w:p w14:paraId="134A021C" w14:textId="77777777" w:rsidR="006554A6" w:rsidRPr="006554A6" w:rsidRDefault="006554A6" w:rsidP="006554A6">
      <w:pPr>
        <w:spacing w:after="0" w:line="240" w:lineRule="auto"/>
        <w:jc w:val="center"/>
        <w:rPr>
          <w:rFonts w:ascii="Times New Roman" w:eastAsia="Times New Roman" w:hAnsi="Times New Roman" w:cs="Times New Roman"/>
          <w:sz w:val="20"/>
          <w:szCs w:val="20"/>
        </w:rPr>
      </w:pPr>
      <w:r w:rsidRPr="006554A6">
        <w:rPr>
          <w:rFonts w:ascii="Times New Roman" w:eastAsia="Times New Roman" w:hAnsi="Times New Roman" w:cs="Times New Roman"/>
          <w:b/>
          <w:bCs/>
          <w:sz w:val="20"/>
          <w:szCs w:val="20"/>
        </w:rPr>
        <w:t> </w:t>
      </w:r>
    </w:p>
    <w:p w14:paraId="193FB7A1" w14:textId="77777777" w:rsidR="006554A6" w:rsidRPr="006554A6" w:rsidRDefault="006554A6" w:rsidP="006554A6">
      <w:pPr>
        <w:spacing w:after="0" w:line="240" w:lineRule="auto"/>
        <w:jc w:val="center"/>
        <w:rPr>
          <w:rFonts w:ascii="Times New Roman" w:eastAsia="Times New Roman" w:hAnsi="Times New Roman" w:cs="Times New Roman"/>
          <w:sz w:val="20"/>
          <w:szCs w:val="20"/>
        </w:rPr>
      </w:pPr>
      <w:r w:rsidRPr="006554A6">
        <w:rPr>
          <w:rFonts w:ascii="Times New Roman" w:eastAsia="Times New Roman" w:hAnsi="Times New Roman" w:cs="Times New Roman"/>
          <w:b/>
          <w:bCs/>
          <w:sz w:val="20"/>
          <w:szCs w:val="20"/>
        </w:rPr>
        <w:t>NEWATER TECHNOLOGY, INC.</w:t>
      </w:r>
    </w:p>
    <w:p w14:paraId="3C744B98" w14:textId="77777777" w:rsidR="006554A6" w:rsidRPr="006554A6" w:rsidRDefault="006554A6" w:rsidP="006554A6">
      <w:pPr>
        <w:spacing w:after="0" w:line="240" w:lineRule="auto"/>
        <w:jc w:val="center"/>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(Registrant’s name)</w:t>
      </w:r>
    </w:p>
    <w:p w14:paraId="5484D139" w14:textId="77777777" w:rsidR="006554A6" w:rsidRPr="006554A6" w:rsidRDefault="006554A6" w:rsidP="006554A6">
      <w:pPr>
        <w:spacing w:after="0" w:line="240" w:lineRule="auto"/>
        <w:jc w:val="center"/>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065B4ABB" w14:textId="77777777" w:rsidR="006554A6" w:rsidRPr="006554A6" w:rsidRDefault="006554A6" w:rsidP="006554A6">
      <w:pPr>
        <w:spacing w:after="0" w:line="240" w:lineRule="auto"/>
        <w:jc w:val="center"/>
        <w:rPr>
          <w:rFonts w:ascii="Times New Roman" w:eastAsia="Times New Roman" w:hAnsi="Times New Roman" w:cs="Times New Roman"/>
          <w:sz w:val="20"/>
          <w:szCs w:val="20"/>
        </w:rPr>
      </w:pPr>
      <w:r w:rsidRPr="006554A6">
        <w:rPr>
          <w:rFonts w:ascii="Times New Roman" w:eastAsia="Times New Roman" w:hAnsi="Times New Roman" w:cs="Times New Roman"/>
          <w:b/>
          <w:bCs/>
          <w:sz w:val="20"/>
          <w:szCs w:val="20"/>
        </w:rPr>
        <w:t xml:space="preserve">c/o Yantai </w:t>
      </w:r>
      <w:proofErr w:type="spellStart"/>
      <w:r w:rsidRPr="006554A6">
        <w:rPr>
          <w:rFonts w:ascii="Times New Roman" w:eastAsia="Times New Roman" w:hAnsi="Times New Roman" w:cs="Times New Roman"/>
          <w:b/>
          <w:bCs/>
          <w:sz w:val="20"/>
          <w:szCs w:val="20"/>
        </w:rPr>
        <w:t>Jinzheng</w:t>
      </w:r>
      <w:proofErr w:type="spellEnd"/>
      <w:r w:rsidRPr="006554A6">
        <w:rPr>
          <w:rFonts w:ascii="Times New Roman" w:eastAsia="Times New Roman" w:hAnsi="Times New Roman" w:cs="Times New Roman"/>
          <w:b/>
          <w:bCs/>
          <w:sz w:val="20"/>
          <w:szCs w:val="20"/>
        </w:rPr>
        <w:t xml:space="preserve"> Eco-Technology Co., Ltd.</w:t>
      </w:r>
    </w:p>
    <w:p w14:paraId="774EA54C" w14:textId="77777777" w:rsidR="006554A6" w:rsidRPr="006554A6" w:rsidRDefault="006554A6" w:rsidP="006554A6">
      <w:pPr>
        <w:spacing w:after="0" w:line="240" w:lineRule="auto"/>
        <w:jc w:val="center"/>
        <w:rPr>
          <w:rFonts w:ascii="Times New Roman" w:eastAsia="Times New Roman" w:hAnsi="Times New Roman" w:cs="Times New Roman"/>
          <w:sz w:val="20"/>
          <w:szCs w:val="20"/>
        </w:rPr>
      </w:pPr>
      <w:r w:rsidRPr="006554A6">
        <w:rPr>
          <w:rFonts w:ascii="Times New Roman" w:eastAsia="Times New Roman" w:hAnsi="Times New Roman" w:cs="Times New Roman"/>
          <w:b/>
          <w:bCs/>
          <w:sz w:val="20"/>
          <w:szCs w:val="20"/>
        </w:rPr>
        <w:t xml:space="preserve">1 </w:t>
      </w:r>
      <w:proofErr w:type="spellStart"/>
      <w:r w:rsidRPr="006554A6">
        <w:rPr>
          <w:rFonts w:ascii="Times New Roman" w:eastAsia="Times New Roman" w:hAnsi="Times New Roman" w:cs="Times New Roman"/>
          <w:b/>
          <w:bCs/>
          <w:sz w:val="20"/>
          <w:szCs w:val="20"/>
        </w:rPr>
        <w:t>Ruida</w:t>
      </w:r>
      <w:proofErr w:type="spellEnd"/>
      <w:r w:rsidRPr="006554A6">
        <w:rPr>
          <w:rFonts w:ascii="Times New Roman" w:eastAsia="Times New Roman" w:hAnsi="Times New Roman" w:cs="Times New Roman"/>
          <w:b/>
          <w:bCs/>
          <w:sz w:val="20"/>
          <w:szCs w:val="20"/>
        </w:rPr>
        <w:t xml:space="preserve"> Road, </w:t>
      </w:r>
      <w:proofErr w:type="spellStart"/>
      <w:r w:rsidRPr="006554A6">
        <w:rPr>
          <w:rFonts w:ascii="Times New Roman" w:eastAsia="Times New Roman" w:hAnsi="Times New Roman" w:cs="Times New Roman"/>
          <w:b/>
          <w:bCs/>
          <w:sz w:val="20"/>
          <w:szCs w:val="20"/>
        </w:rPr>
        <w:t>Laishan</w:t>
      </w:r>
      <w:proofErr w:type="spellEnd"/>
      <w:r w:rsidRPr="006554A6">
        <w:rPr>
          <w:rFonts w:ascii="Times New Roman" w:eastAsia="Times New Roman" w:hAnsi="Times New Roman" w:cs="Times New Roman"/>
          <w:b/>
          <w:bCs/>
          <w:sz w:val="20"/>
          <w:szCs w:val="20"/>
        </w:rPr>
        <w:t xml:space="preserve"> District, Yantai City</w:t>
      </w:r>
    </w:p>
    <w:p w14:paraId="1F284BBF" w14:textId="77777777" w:rsidR="006554A6" w:rsidRPr="006554A6" w:rsidRDefault="006554A6" w:rsidP="006554A6">
      <w:pPr>
        <w:spacing w:after="0" w:line="240" w:lineRule="auto"/>
        <w:jc w:val="center"/>
        <w:rPr>
          <w:rFonts w:ascii="Times New Roman" w:eastAsia="Times New Roman" w:hAnsi="Times New Roman" w:cs="Times New Roman"/>
          <w:sz w:val="20"/>
          <w:szCs w:val="20"/>
        </w:rPr>
      </w:pPr>
      <w:r w:rsidRPr="006554A6">
        <w:rPr>
          <w:rFonts w:ascii="Times New Roman" w:eastAsia="Times New Roman" w:hAnsi="Times New Roman" w:cs="Times New Roman"/>
          <w:b/>
          <w:bCs/>
          <w:sz w:val="20"/>
          <w:szCs w:val="20"/>
        </w:rPr>
        <w:t>Shandong Province</w:t>
      </w:r>
    </w:p>
    <w:p w14:paraId="67EEB108" w14:textId="77777777" w:rsidR="006554A6" w:rsidRPr="006554A6" w:rsidRDefault="006554A6" w:rsidP="006554A6">
      <w:pPr>
        <w:spacing w:after="0" w:line="240" w:lineRule="auto"/>
        <w:jc w:val="center"/>
        <w:rPr>
          <w:rFonts w:ascii="Times New Roman" w:eastAsia="Times New Roman" w:hAnsi="Times New Roman" w:cs="Times New Roman"/>
          <w:sz w:val="20"/>
          <w:szCs w:val="20"/>
        </w:rPr>
      </w:pPr>
      <w:r w:rsidRPr="006554A6">
        <w:rPr>
          <w:rFonts w:ascii="Times New Roman" w:eastAsia="Times New Roman" w:hAnsi="Times New Roman" w:cs="Times New Roman"/>
          <w:b/>
          <w:bCs/>
          <w:sz w:val="20"/>
          <w:szCs w:val="20"/>
        </w:rPr>
        <w:t>People’s Republic of China 264000</w:t>
      </w:r>
    </w:p>
    <w:p w14:paraId="4B0A6728" w14:textId="77777777" w:rsidR="006554A6" w:rsidRPr="006554A6" w:rsidRDefault="006554A6" w:rsidP="006554A6">
      <w:pPr>
        <w:spacing w:after="0" w:line="240" w:lineRule="auto"/>
        <w:jc w:val="center"/>
        <w:rPr>
          <w:rFonts w:ascii="Times New Roman" w:eastAsia="Times New Roman" w:hAnsi="Times New Roman" w:cs="Times New Roman"/>
          <w:sz w:val="20"/>
          <w:szCs w:val="20"/>
        </w:rPr>
      </w:pPr>
      <w:r w:rsidRPr="006554A6">
        <w:rPr>
          <w:rFonts w:ascii="Times New Roman" w:eastAsia="Times New Roman" w:hAnsi="Times New Roman" w:cs="Times New Roman"/>
          <w:b/>
          <w:bCs/>
          <w:sz w:val="20"/>
          <w:szCs w:val="20"/>
        </w:rPr>
        <w:t> </w:t>
      </w:r>
    </w:p>
    <w:p w14:paraId="69244EE8" w14:textId="77777777" w:rsidR="006554A6" w:rsidRPr="006554A6" w:rsidRDefault="006554A6" w:rsidP="006554A6">
      <w:pPr>
        <w:spacing w:after="0" w:line="240" w:lineRule="auto"/>
        <w:jc w:val="center"/>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(Address of principal executive office)</w:t>
      </w:r>
    </w:p>
    <w:p w14:paraId="30F41145" w14:textId="77777777" w:rsidR="006554A6" w:rsidRPr="006554A6" w:rsidRDefault="006554A6" w:rsidP="006554A6">
      <w:pPr>
        <w:spacing w:after="0" w:line="240" w:lineRule="auto"/>
        <w:jc w:val="center"/>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1E4748A1" w14:textId="77777777" w:rsidR="006554A6" w:rsidRPr="006554A6" w:rsidRDefault="006554A6" w:rsidP="006554A6">
      <w:pPr>
        <w:spacing w:after="0" w:line="240" w:lineRule="auto"/>
        <w:rPr>
          <w:rFonts w:ascii="Times New Roman" w:eastAsia="Times New Roman" w:hAnsi="Times New Roman" w:cs="Times New Roman"/>
          <w:sz w:val="2"/>
          <w:szCs w:val="2"/>
        </w:rPr>
      </w:pPr>
      <w:r w:rsidRPr="006554A6">
        <w:rPr>
          <w:rFonts w:ascii="Times New Roman" w:eastAsia="Times New Roman" w:hAnsi="Times New Roman" w:cs="Times New Roman"/>
          <w:sz w:val="2"/>
          <w:szCs w:val="2"/>
        </w:rPr>
        <w:t> </w:t>
      </w:r>
    </w:p>
    <w:p w14:paraId="2FBA03AF" w14:textId="77777777" w:rsidR="006554A6" w:rsidRPr="006554A6" w:rsidRDefault="006554A6" w:rsidP="006554A6">
      <w:pPr>
        <w:spacing w:after="0" w:line="240" w:lineRule="auto"/>
        <w:jc w:val="center"/>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0E2C1716"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Indicate by check mark whether the registrant files or will file annual reports under cover of Form 20-F or Form 40-F. Form 20-F </w:t>
      </w:r>
      <w:r w:rsidRPr="006554A6">
        <w:rPr>
          <w:rFonts w:ascii="Segoe UI Symbol" w:eastAsia="Times New Roman" w:hAnsi="Segoe UI Symbol" w:cs="Segoe UI Symbol"/>
          <w:sz w:val="20"/>
          <w:szCs w:val="20"/>
        </w:rPr>
        <w:t>☒</w:t>
      </w:r>
      <w:r w:rsidRPr="006554A6">
        <w:rPr>
          <w:rFonts w:ascii="Times New Roman" w:eastAsia="Times New Roman" w:hAnsi="Times New Roman" w:cs="Times New Roman"/>
          <w:sz w:val="20"/>
          <w:szCs w:val="20"/>
        </w:rPr>
        <w:t xml:space="preserve">   Form 40-F </w:t>
      </w:r>
      <w:r w:rsidRPr="006554A6">
        <w:rPr>
          <w:rFonts w:ascii="Segoe UI Symbol" w:eastAsia="Times New Roman" w:hAnsi="Segoe UI Symbol" w:cs="Segoe UI Symbol"/>
          <w:sz w:val="20"/>
          <w:szCs w:val="20"/>
        </w:rPr>
        <w:t>☐</w:t>
      </w:r>
    </w:p>
    <w:p w14:paraId="4C7E578C"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25F16450"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xml:space="preserve">Indicate by check mark if the registrant is submitting the Form 6-K in paper as permitted by Regulation S-T Rule 101(b)(1): </w:t>
      </w:r>
      <w:r w:rsidRPr="006554A6">
        <w:rPr>
          <w:rFonts w:ascii="Segoe UI Symbol" w:eastAsia="Times New Roman" w:hAnsi="Segoe UI Symbol" w:cs="Segoe UI Symbol"/>
          <w:sz w:val="20"/>
          <w:szCs w:val="20"/>
        </w:rPr>
        <w:t>☐</w:t>
      </w:r>
    </w:p>
    <w:p w14:paraId="38A20B5C"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3B9A8809"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xml:space="preserve">Indicate by check mark if the registrant is submitting the Form 6-K in paper as permitted by Regulation S-T Rule 101(b)(7): </w:t>
      </w:r>
      <w:r w:rsidRPr="006554A6">
        <w:rPr>
          <w:rFonts w:ascii="Segoe UI Symbol" w:eastAsia="Times New Roman" w:hAnsi="Segoe UI Symbol" w:cs="Segoe UI Symbol"/>
          <w:sz w:val="20"/>
          <w:szCs w:val="20"/>
        </w:rPr>
        <w:t>☐</w:t>
      </w:r>
    </w:p>
    <w:p w14:paraId="3261A347" w14:textId="77777777" w:rsidR="006554A6" w:rsidRPr="006554A6" w:rsidRDefault="006554A6" w:rsidP="006554A6">
      <w:pPr>
        <w:spacing w:after="0" w:line="240" w:lineRule="auto"/>
        <w:jc w:val="center"/>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66C1A4BF" w14:textId="77777777" w:rsidR="006554A6" w:rsidRPr="006554A6" w:rsidRDefault="006554A6" w:rsidP="006554A6">
      <w:pPr>
        <w:spacing w:after="0" w:line="240" w:lineRule="auto"/>
        <w:rPr>
          <w:rFonts w:ascii="Times New Roman" w:eastAsia="Times New Roman" w:hAnsi="Times New Roman" w:cs="Times New Roman"/>
          <w:sz w:val="2"/>
          <w:szCs w:val="2"/>
        </w:rPr>
      </w:pPr>
      <w:r w:rsidRPr="006554A6">
        <w:rPr>
          <w:rFonts w:ascii="Times New Roman" w:eastAsia="Times New Roman" w:hAnsi="Times New Roman" w:cs="Times New Roman"/>
          <w:sz w:val="2"/>
          <w:szCs w:val="2"/>
        </w:rPr>
        <w:t> </w:t>
      </w:r>
    </w:p>
    <w:p w14:paraId="2DDA17F1" w14:textId="77777777" w:rsidR="006554A6" w:rsidRPr="006554A6" w:rsidRDefault="006554A6" w:rsidP="006554A6">
      <w:pPr>
        <w:spacing w:after="0" w:line="240" w:lineRule="auto"/>
        <w:jc w:val="center"/>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22D54940" w14:textId="77777777" w:rsidR="006554A6" w:rsidRPr="006554A6" w:rsidRDefault="006554A6" w:rsidP="006554A6">
      <w:pPr>
        <w:spacing w:after="0" w:line="240" w:lineRule="auto"/>
        <w:rPr>
          <w:rFonts w:ascii="Times New Roman" w:eastAsia="Times New Roman" w:hAnsi="Times New Roman" w:cs="Times New Roman"/>
          <w:sz w:val="2"/>
          <w:szCs w:val="2"/>
        </w:rPr>
      </w:pPr>
      <w:r w:rsidRPr="006554A6">
        <w:rPr>
          <w:rFonts w:ascii="Times New Roman" w:eastAsia="Times New Roman" w:hAnsi="Times New Roman" w:cs="Times New Roman"/>
          <w:sz w:val="2"/>
          <w:szCs w:val="2"/>
        </w:rPr>
        <w:t> </w:t>
      </w:r>
    </w:p>
    <w:p w14:paraId="6B67E7C7"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0C339ABB" w14:textId="77777777" w:rsidR="006554A6" w:rsidRPr="006554A6" w:rsidRDefault="006554A6" w:rsidP="006554A6">
      <w:pPr>
        <w:spacing w:after="12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32C3BEE4" w14:textId="77777777" w:rsidR="006554A6" w:rsidRPr="006554A6" w:rsidRDefault="006554A6" w:rsidP="006554A6">
      <w:pPr>
        <w:pageBreakBefore/>
        <w:spacing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1A7F0B32"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16DD32E4" w14:textId="77777777" w:rsidR="006554A6" w:rsidRPr="006554A6" w:rsidRDefault="006554A6" w:rsidP="006554A6">
      <w:pPr>
        <w:spacing w:after="0" w:line="240" w:lineRule="auto"/>
        <w:jc w:val="center"/>
        <w:rPr>
          <w:rFonts w:ascii="Times New Roman" w:eastAsia="Times New Roman" w:hAnsi="Times New Roman" w:cs="Times New Roman"/>
          <w:sz w:val="20"/>
          <w:szCs w:val="20"/>
        </w:rPr>
      </w:pPr>
      <w:r w:rsidRPr="006554A6">
        <w:rPr>
          <w:rFonts w:ascii="Times New Roman" w:eastAsia="Times New Roman" w:hAnsi="Times New Roman" w:cs="Times New Roman"/>
          <w:b/>
          <w:bCs/>
          <w:sz w:val="20"/>
          <w:szCs w:val="20"/>
        </w:rPr>
        <w:t>EXHIBIT INDEX</w:t>
      </w:r>
    </w:p>
    <w:p w14:paraId="3EF6115F" w14:textId="77777777" w:rsidR="006554A6" w:rsidRPr="006554A6" w:rsidRDefault="006554A6" w:rsidP="006554A6">
      <w:pPr>
        <w:spacing w:after="0" w:line="240" w:lineRule="auto"/>
        <w:jc w:val="center"/>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tbl>
      <w:tblPr>
        <w:tblW w:w="5000" w:type="pct"/>
        <w:shd w:val="clear" w:color="auto" w:fill="FFFFFF"/>
        <w:tblCellMar>
          <w:left w:w="0" w:type="dxa"/>
          <w:right w:w="0" w:type="dxa"/>
        </w:tblCellMar>
        <w:tblLook w:val="04A0" w:firstRow="1" w:lastRow="0" w:firstColumn="1" w:lastColumn="0" w:noHBand="0" w:noVBand="1"/>
      </w:tblPr>
      <w:tblGrid>
        <w:gridCol w:w="712"/>
        <w:gridCol w:w="65"/>
        <w:gridCol w:w="8583"/>
      </w:tblGrid>
      <w:tr w:rsidR="006554A6" w:rsidRPr="006554A6" w14:paraId="274E4F7E" w14:textId="77777777" w:rsidTr="006554A6">
        <w:tc>
          <w:tcPr>
            <w:tcW w:w="350" w:type="pct"/>
            <w:tcBorders>
              <w:bottom w:val="single" w:sz="12" w:space="0" w:color="000000"/>
            </w:tcBorders>
            <w:shd w:val="clear" w:color="auto" w:fill="FFFFFF"/>
            <w:vAlign w:val="bottom"/>
            <w:hideMark/>
          </w:tcPr>
          <w:p w14:paraId="01053A5D"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b/>
                <w:bCs/>
                <w:sz w:val="20"/>
                <w:szCs w:val="20"/>
              </w:rPr>
              <w:t>Number</w:t>
            </w:r>
          </w:p>
        </w:tc>
        <w:tc>
          <w:tcPr>
            <w:tcW w:w="50" w:type="pct"/>
            <w:shd w:val="clear" w:color="auto" w:fill="FFFFFF"/>
            <w:tcMar>
              <w:top w:w="0" w:type="dxa"/>
              <w:left w:w="0" w:type="dxa"/>
              <w:bottom w:w="30" w:type="dxa"/>
              <w:right w:w="0" w:type="dxa"/>
            </w:tcMar>
            <w:vAlign w:val="bottom"/>
            <w:hideMark/>
          </w:tcPr>
          <w:p w14:paraId="409CB4E3"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tc>
        <w:tc>
          <w:tcPr>
            <w:tcW w:w="4600" w:type="pct"/>
            <w:tcBorders>
              <w:bottom w:val="single" w:sz="12" w:space="0" w:color="000000"/>
            </w:tcBorders>
            <w:shd w:val="clear" w:color="auto" w:fill="FFFFFF"/>
            <w:vAlign w:val="bottom"/>
            <w:hideMark/>
          </w:tcPr>
          <w:p w14:paraId="56D43DA9"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b/>
                <w:bCs/>
                <w:sz w:val="20"/>
                <w:szCs w:val="20"/>
              </w:rPr>
              <w:t>Description of Exhibit</w:t>
            </w:r>
          </w:p>
        </w:tc>
      </w:tr>
      <w:tr w:rsidR="006554A6" w:rsidRPr="006554A6" w14:paraId="6CEF3979" w14:textId="77777777" w:rsidTr="006554A6">
        <w:tc>
          <w:tcPr>
            <w:tcW w:w="0" w:type="auto"/>
            <w:shd w:val="clear" w:color="auto" w:fill="CCEEFF"/>
            <w:hideMark/>
          </w:tcPr>
          <w:p w14:paraId="024C591D"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99.1</w:t>
            </w:r>
          </w:p>
        </w:tc>
        <w:tc>
          <w:tcPr>
            <w:tcW w:w="0" w:type="auto"/>
            <w:shd w:val="clear" w:color="auto" w:fill="CCEEFF"/>
            <w:hideMark/>
          </w:tcPr>
          <w:p w14:paraId="460353D3"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tc>
        <w:tc>
          <w:tcPr>
            <w:tcW w:w="0" w:type="auto"/>
            <w:shd w:val="clear" w:color="auto" w:fill="CCEEFF"/>
            <w:hideMark/>
          </w:tcPr>
          <w:p w14:paraId="08B39887"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hyperlink r:id="rId4" w:history="1">
              <w:r w:rsidRPr="006554A6">
                <w:rPr>
                  <w:rFonts w:ascii="Times New Roman" w:eastAsia="Times New Roman" w:hAnsi="Times New Roman" w:cs="Times New Roman"/>
                  <w:color w:val="0000FF"/>
                  <w:sz w:val="20"/>
                  <w:szCs w:val="20"/>
                  <w:u w:val="single"/>
                </w:rPr>
                <w:t>Press Release dated June 3,2020, announcing the retention of financial adviser and legal counsel by the Independent Committee</w:t>
              </w:r>
            </w:hyperlink>
          </w:p>
        </w:tc>
      </w:tr>
    </w:tbl>
    <w:p w14:paraId="307CCD45"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3EDBA2B6" w14:textId="77777777" w:rsidR="006554A6" w:rsidRPr="006554A6" w:rsidRDefault="006554A6" w:rsidP="006554A6">
      <w:pPr>
        <w:spacing w:after="120" w:line="240" w:lineRule="auto"/>
        <w:jc w:val="center"/>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1</w:t>
      </w:r>
    </w:p>
    <w:p w14:paraId="0AFE075F" w14:textId="77777777" w:rsidR="006554A6" w:rsidRPr="006554A6" w:rsidRDefault="006554A6" w:rsidP="006554A6">
      <w:pPr>
        <w:pageBreakBefore/>
        <w:spacing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4E6D8687"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5ACEB9AA" w14:textId="77777777" w:rsidR="006554A6" w:rsidRPr="006554A6" w:rsidRDefault="006554A6" w:rsidP="006554A6">
      <w:pPr>
        <w:spacing w:after="0" w:line="240" w:lineRule="auto"/>
        <w:jc w:val="center"/>
        <w:rPr>
          <w:rFonts w:ascii="Times New Roman" w:eastAsia="Times New Roman" w:hAnsi="Times New Roman" w:cs="Times New Roman"/>
          <w:sz w:val="20"/>
          <w:szCs w:val="20"/>
        </w:rPr>
      </w:pPr>
      <w:r w:rsidRPr="006554A6">
        <w:rPr>
          <w:rFonts w:ascii="Times New Roman" w:eastAsia="Times New Roman" w:hAnsi="Times New Roman" w:cs="Times New Roman"/>
          <w:b/>
          <w:bCs/>
          <w:sz w:val="20"/>
          <w:szCs w:val="20"/>
          <w:u w:val="single"/>
        </w:rPr>
        <w:t>SIGNATURES</w:t>
      </w:r>
    </w:p>
    <w:p w14:paraId="47B599AE" w14:textId="77777777" w:rsidR="006554A6" w:rsidRPr="006554A6" w:rsidRDefault="006554A6" w:rsidP="006554A6">
      <w:pPr>
        <w:spacing w:after="0" w:line="240" w:lineRule="auto"/>
        <w:jc w:val="center"/>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1CD589C5" w14:textId="77777777" w:rsidR="006554A6" w:rsidRPr="006554A6" w:rsidRDefault="006554A6" w:rsidP="006554A6">
      <w:pPr>
        <w:spacing w:after="0" w:line="240" w:lineRule="auto"/>
        <w:ind w:firstLine="720"/>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Pursuant to the requirements of the Securities and Exchange Act of 1934, the Registrant has duly caused this report to be signed on its behalf by the undersigned thereunto duly authorized.</w:t>
      </w:r>
    </w:p>
    <w:p w14:paraId="47131113"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616"/>
        <w:gridCol w:w="374"/>
        <w:gridCol w:w="3370"/>
      </w:tblGrid>
      <w:tr w:rsidR="006554A6" w:rsidRPr="006554A6" w14:paraId="3CCD5D51" w14:textId="77777777" w:rsidTr="006554A6">
        <w:trPr>
          <w:tblCellSpacing w:w="0" w:type="dxa"/>
        </w:trPr>
        <w:tc>
          <w:tcPr>
            <w:tcW w:w="0" w:type="auto"/>
            <w:hideMark/>
          </w:tcPr>
          <w:p w14:paraId="4182DCD2"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tc>
        <w:tc>
          <w:tcPr>
            <w:tcW w:w="0" w:type="auto"/>
            <w:gridSpan w:val="2"/>
            <w:vAlign w:val="center"/>
            <w:hideMark/>
          </w:tcPr>
          <w:p w14:paraId="545E32BD"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b/>
                <w:bCs/>
                <w:sz w:val="20"/>
                <w:szCs w:val="20"/>
              </w:rPr>
              <w:t>NEWATER TECHNOLOGY, INC.</w:t>
            </w:r>
          </w:p>
        </w:tc>
      </w:tr>
      <w:tr w:rsidR="006554A6" w:rsidRPr="006554A6" w14:paraId="69646E8D" w14:textId="77777777" w:rsidTr="006554A6">
        <w:trPr>
          <w:tblCellSpacing w:w="0" w:type="dxa"/>
        </w:trPr>
        <w:tc>
          <w:tcPr>
            <w:tcW w:w="0" w:type="auto"/>
            <w:hideMark/>
          </w:tcPr>
          <w:p w14:paraId="2D81D268"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tc>
        <w:tc>
          <w:tcPr>
            <w:tcW w:w="0" w:type="auto"/>
            <w:gridSpan w:val="2"/>
            <w:vAlign w:val="center"/>
            <w:hideMark/>
          </w:tcPr>
          <w:p w14:paraId="68719B6C"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tc>
      </w:tr>
      <w:tr w:rsidR="006554A6" w:rsidRPr="006554A6" w14:paraId="230C3DE9" w14:textId="77777777" w:rsidTr="006554A6">
        <w:trPr>
          <w:tblCellSpacing w:w="0" w:type="dxa"/>
        </w:trPr>
        <w:tc>
          <w:tcPr>
            <w:tcW w:w="3000" w:type="pct"/>
            <w:hideMark/>
          </w:tcPr>
          <w:p w14:paraId="4CF1FBC7"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tc>
        <w:tc>
          <w:tcPr>
            <w:tcW w:w="200" w:type="pct"/>
            <w:vAlign w:val="center"/>
            <w:hideMark/>
          </w:tcPr>
          <w:p w14:paraId="7A54D1FD"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By: </w:t>
            </w:r>
          </w:p>
        </w:tc>
        <w:tc>
          <w:tcPr>
            <w:tcW w:w="1800" w:type="pct"/>
            <w:tcBorders>
              <w:bottom w:val="single" w:sz="12" w:space="0" w:color="000000"/>
            </w:tcBorders>
            <w:hideMark/>
          </w:tcPr>
          <w:p w14:paraId="2308C8CE"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xml:space="preserve">/s/ </w:t>
            </w:r>
            <w:proofErr w:type="spellStart"/>
            <w:r w:rsidRPr="006554A6">
              <w:rPr>
                <w:rFonts w:ascii="Times New Roman" w:eastAsia="Times New Roman" w:hAnsi="Times New Roman" w:cs="Times New Roman"/>
                <w:sz w:val="20"/>
                <w:szCs w:val="20"/>
              </w:rPr>
              <w:t>Yuebiao</w:t>
            </w:r>
            <w:proofErr w:type="spellEnd"/>
            <w:r w:rsidRPr="006554A6">
              <w:rPr>
                <w:rFonts w:ascii="Times New Roman" w:eastAsia="Times New Roman" w:hAnsi="Times New Roman" w:cs="Times New Roman"/>
                <w:sz w:val="20"/>
                <w:szCs w:val="20"/>
              </w:rPr>
              <w:t xml:space="preserve"> Li</w:t>
            </w:r>
          </w:p>
        </w:tc>
      </w:tr>
      <w:tr w:rsidR="006554A6" w:rsidRPr="006554A6" w14:paraId="58EE7BB9" w14:textId="77777777" w:rsidTr="006554A6">
        <w:trPr>
          <w:tblCellSpacing w:w="0" w:type="dxa"/>
        </w:trPr>
        <w:tc>
          <w:tcPr>
            <w:tcW w:w="0" w:type="auto"/>
            <w:hideMark/>
          </w:tcPr>
          <w:p w14:paraId="27AFDA87"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tc>
        <w:tc>
          <w:tcPr>
            <w:tcW w:w="0" w:type="auto"/>
            <w:vAlign w:val="center"/>
            <w:hideMark/>
          </w:tcPr>
          <w:p w14:paraId="205F4071"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tc>
        <w:tc>
          <w:tcPr>
            <w:tcW w:w="0" w:type="auto"/>
            <w:hideMark/>
          </w:tcPr>
          <w:p w14:paraId="0137E8E6" w14:textId="77777777" w:rsidR="006554A6" w:rsidRPr="006554A6" w:rsidRDefault="006554A6" w:rsidP="006554A6">
            <w:pPr>
              <w:spacing w:after="0" w:line="240" w:lineRule="auto"/>
              <w:rPr>
                <w:rFonts w:ascii="Times New Roman" w:eastAsia="Times New Roman" w:hAnsi="Times New Roman" w:cs="Times New Roman"/>
                <w:sz w:val="20"/>
                <w:szCs w:val="20"/>
              </w:rPr>
            </w:pPr>
            <w:proofErr w:type="spellStart"/>
            <w:r w:rsidRPr="006554A6">
              <w:rPr>
                <w:rFonts w:ascii="Times New Roman" w:eastAsia="Times New Roman" w:hAnsi="Times New Roman" w:cs="Times New Roman"/>
                <w:sz w:val="20"/>
                <w:szCs w:val="20"/>
              </w:rPr>
              <w:t>Yuebiao</w:t>
            </w:r>
            <w:proofErr w:type="spellEnd"/>
            <w:r w:rsidRPr="006554A6">
              <w:rPr>
                <w:rFonts w:ascii="Times New Roman" w:eastAsia="Times New Roman" w:hAnsi="Times New Roman" w:cs="Times New Roman"/>
                <w:sz w:val="20"/>
                <w:szCs w:val="20"/>
              </w:rPr>
              <w:t xml:space="preserve"> Li</w:t>
            </w:r>
          </w:p>
        </w:tc>
      </w:tr>
      <w:tr w:rsidR="006554A6" w:rsidRPr="006554A6" w14:paraId="393F504E" w14:textId="77777777" w:rsidTr="006554A6">
        <w:trPr>
          <w:tblCellSpacing w:w="0" w:type="dxa"/>
        </w:trPr>
        <w:tc>
          <w:tcPr>
            <w:tcW w:w="0" w:type="auto"/>
            <w:hideMark/>
          </w:tcPr>
          <w:p w14:paraId="500D3C94"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tc>
        <w:tc>
          <w:tcPr>
            <w:tcW w:w="0" w:type="auto"/>
            <w:vAlign w:val="center"/>
            <w:hideMark/>
          </w:tcPr>
          <w:p w14:paraId="26D9CCF0"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tc>
        <w:tc>
          <w:tcPr>
            <w:tcW w:w="0" w:type="auto"/>
            <w:hideMark/>
          </w:tcPr>
          <w:p w14:paraId="0C97DE7E"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Chairman and Chief Executive Officer</w:t>
            </w:r>
          </w:p>
        </w:tc>
      </w:tr>
    </w:tbl>
    <w:p w14:paraId="4CF89395"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77428D66"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Dated: June 3, 2020</w:t>
      </w:r>
    </w:p>
    <w:p w14:paraId="4F376CD4"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1C56D4B7"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4A2B1FD6" w14:textId="77777777" w:rsidR="006554A6" w:rsidRPr="006554A6" w:rsidRDefault="006554A6" w:rsidP="006554A6">
      <w:pPr>
        <w:spacing w:after="0" w:line="240" w:lineRule="auto"/>
        <w:jc w:val="center"/>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2</w:t>
      </w:r>
    </w:p>
    <w:p w14:paraId="737126C9" w14:textId="77777777" w:rsidR="006554A6" w:rsidRPr="006554A6" w:rsidRDefault="006554A6" w:rsidP="006554A6">
      <w:pPr>
        <w:spacing w:after="0" w:line="240" w:lineRule="auto"/>
        <w:rPr>
          <w:rFonts w:ascii="Times New Roman" w:eastAsia="Times New Roman" w:hAnsi="Times New Roman" w:cs="Times New Roman"/>
          <w:sz w:val="2"/>
          <w:szCs w:val="2"/>
        </w:rPr>
      </w:pPr>
      <w:r w:rsidRPr="006554A6">
        <w:rPr>
          <w:rFonts w:ascii="Times New Roman" w:eastAsia="Times New Roman" w:hAnsi="Times New Roman" w:cs="Times New Roman"/>
          <w:sz w:val="2"/>
          <w:szCs w:val="2"/>
        </w:rPr>
        <w:t> </w:t>
      </w:r>
    </w:p>
    <w:p w14:paraId="50CD8A23" w14:textId="77777777" w:rsidR="006554A6" w:rsidRDefault="006554A6">
      <w:pPr>
        <w:rPr>
          <w:rFonts w:ascii="Times New Roman" w:eastAsia="Times New Roman" w:hAnsi="Times New Roman" w:cs="Times New Roman"/>
          <w:b/>
          <w:bCs/>
          <w:sz w:val="20"/>
          <w:szCs w:val="20"/>
        </w:rPr>
      </w:pPr>
      <w:bookmarkStart w:id="1" w:name="gfpea122632ex99-1_newatertech.htm"/>
      <w:bookmarkEnd w:id="1"/>
      <w:r>
        <w:rPr>
          <w:rFonts w:ascii="Times New Roman" w:eastAsia="Times New Roman" w:hAnsi="Times New Roman" w:cs="Times New Roman"/>
          <w:b/>
          <w:bCs/>
          <w:sz w:val="20"/>
          <w:szCs w:val="20"/>
        </w:rPr>
        <w:br w:type="page"/>
      </w:r>
    </w:p>
    <w:p w14:paraId="56E9E940" w14:textId="677363EE" w:rsidR="006554A6" w:rsidRPr="006554A6" w:rsidRDefault="006554A6" w:rsidP="006554A6">
      <w:pPr>
        <w:spacing w:after="0" w:line="240" w:lineRule="auto"/>
        <w:jc w:val="right"/>
        <w:rPr>
          <w:rFonts w:ascii="Times New Roman" w:eastAsia="Times New Roman" w:hAnsi="Times New Roman" w:cs="Times New Roman"/>
          <w:sz w:val="20"/>
          <w:szCs w:val="20"/>
        </w:rPr>
      </w:pPr>
      <w:r w:rsidRPr="006554A6">
        <w:rPr>
          <w:rFonts w:ascii="Times New Roman" w:eastAsia="Times New Roman" w:hAnsi="Times New Roman" w:cs="Times New Roman"/>
          <w:b/>
          <w:bCs/>
          <w:sz w:val="20"/>
          <w:szCs w:val="20"/>
        </w:rPr>
        <w:t xml:space="preserve">Exhibit 99.1 </w:t>
      </w:r>
    </w:p>
    <w:p w14:paraId="66A61C62"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b/>
          <w:bCs/>
          <w:sz w:val="20"/>
          <w:szCs w:val="20"/>
        </w:rPr>
        <w:t> </w:t>
      </w:r>
    </w:p>
    <w:p w14:paraId="0D9BB72B" w14:textId="77777777" w:rsidR="006554A6" w:rsidRPr="006554A6" w:rsidRDefault="006554A6" w:rsidP="006554A6">
      <w:pPr>
        <w:spacing w:after="0" w:line="240" w:lineRule="auto"/>
        <w:rPr>
          <w:rFonts w:ascii="Times New Roman" w:eastAsia="Times New Roman" w:hAnsi="Times New Roman" w:cs="Times New Roman"/>
          <w:sz w:val="20"/>
          <w:szCs w:val="20"/>
        </w:rPr>
      </w:pPr>
      <w:proofErr w:type="spellStart"/>
      <w:r w:rsidRPr="006554A6">
        <w:rPr>
          <w:rFonts w:ascii="Times New Roman" w:eastAsia="Times New Roman" w:hAnsi="Times New Roman" w:cs="Times New Roman"/>
          <w:b/>
          <w:bCs/>
          <w:sz w:val="20"/>
          <w:szCs w:val="20"/>
        </w:rPr>
        <w:t>Newater</w:t>
      </w:r>
      <w:proofErr w:type="spellEnd"/>
      <w:r w:rsidRPr="006554A6">
        <w:rPr>
          <w:rFonts w:ascii="Times New Roman" w:eastAsia="Times New Roman" w:hAnsi="Times New Roman" w:cs="Times New Roman"/>
          <w:b/>
          <w:bCs/>
          <w:sz w:val="20"/>
          <w:szCs w:val="20"/>
        </w:rPr>
        <w:t xml:space="preserve"> Technology, Inc. Announces its Independent Committee’s Engagement of Financial Advisor and Legal Counsel </w:t>
      </w:r>
    </w:p>
    <w:p w14:paraId="29CE9EC0"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76ACF314"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xml:space="preserve">YANTAI, China, June 3, 2020 /PRNewswire/ -- </w:t>
      </w:r>
      <w:proofErr w:type="spellStart"/>
      <w:r w:rsidRPr="006554A6">
        <w:rPr>
          <w:rFonts w:ascii="Times New Roman" w:eastAsia="Times New Roman" w:hAnsi="Times New Roman" w:cs="Times New Roman"/>
          <w:sz w:val="20"/>
          <w:szCs w:val="20"/>
        </w:rPr>
        <w:t>Newater</w:t>
      </w:r>
      <w:proofErr w:type="spellEnd"/>
      <w:r w:rsidRPr="006554A6">
        <w:rPr>
          <w:rFonts w:ascii="Times New Roman" w:eastAsia="Times New Roman" w:hAnsi="Times New Roman" w:cs="Times New Roman"/>
          <w:sz w:val="20"/>
          <w:szCs w:val="20"/>
        </w:rPr>
        <w:t xml:space="preserve"> Technology, Inc. (NASDAQ: NEWA) (“NEWA”, or the “Company”), a developer, service provider and manufacturer of membrane filtration products and related hardware and engineered systems that are used in the treatment, recycling and discharge of wastewater, today announced that the special committee of its board of the directors (the “Independent Committee”), which consists of independent directors and was formed to consider, among other things, the May 12, 2020 non-binding proposal letter from the Company’s Chairman and Chief Executive Officer, Mr. </w:t>
      </w:r>
      <w:proofErr w:type="spellStart"/>
      <w:r w:rsidRPr="006554A6">
        <w:rPr>
          <w:rFonts w:ascii="Times New Roman" w:eastAsia="Times New Roman" w:hAnsi="Times New Roman" w:cs="Times New Roman"/>
          <w:sz w:val="20"/>
          <w:szCs w:val="20"/>
        </w:rPr>
        <w:t>Yuebiao</w:t>
      </w:r>
      <w:proofErr w:type="spellEnd"/>
      <w:r w:rsidRPr="006554A6">
        <w:rPr>
          <w:rFonts w:ascii="Times New Roman" w:eastAsia="Times New Roman" w:hAnsi="Times New Roman" w:cs="Times New Roman"/>
          <w:sz w:val="20"/>
          <w:szCs w:val="20"/>
        </w:rPr>
        <w:t xml:space="preserve"> Li (“Mr. Li”), and its Chief Financial Officer, Ms. </w:t>
      </w:r>
      <w:proofErr w:type="spellStart"/>
      <w:r w:rsidRPr="006554A6">
        <w:rPr>
          <w:rFonts w:ascii="Times New Roman" w:eastAsia="Times New Roman" w:hAnsi="Times New Roman" w:cs="Times New Roman"/>
          <w:sz w:val="20"/>
          <w:szCs w:val="20"/>
        </w:rPr>
        <w:t>Zhuo</w:t>
      </w:r>
      <w:proofErr w:type="spellEnd"/>
      <w:r w:rsidRPr="006554A6">
        <w:rPr>
          <w:rFonts w:ascii="Times New Roman" w:eastAsia="Times New Roman" w:hAnsi="Times New Roman" w:cs="Times New Roman"/>
          <w:sz w:val="20"/>
          <w:szCs w:val="20"/>
        </w:rPr>
        <w:t xml:space="preserve"> Zhang (“Ms. Zhang”, together with Mr. Li, the “Buyer Group”), to acquire all of the outstanding shares of the Company not currently owned by the Buyer Group and their respective affiliates and certain other shareholders of the Company who may choose to join the Buyer Group in a going private transaction (the “Proposed Transaction”), has retained Duff &amp; Phelps, LLC as its financial advisor and </w:t>
      </w:r>
      <w:proofErr w:type="spellStart"/>
      <w:r w:rsidRPr="006554A6">
        <w:rPr>
          <w:rFonts w:ascii="Times New Roman" w:eastAsia="Times New Roman" w:hAnsi="Times New Roman" w:cs="Times New Roman"/>
          <w:sz w:val="20"/>
          <w:szCs w:val="20"/>
        </w:rPr>
        <w:t>MagStone</w:t>
      </w:r>
      <w:proofErr w:type="spellEnd"/>
      <w:r w:rsidRPr="006554A6">
        <w:rPr>
          <w:rFonts w:ascii="Times New Roman" w:eastAsia="Times New Roman" w:hAnsi="Times New Roman" w:cs="Times New Roman"/>
          <w:sz w:val="20"/>
          <w:szCs w:val="20"/>
        </w:rPr>
        <w:t xml:space="preserve"> Law, LLP as its legal counsel to assist the Independent Committee in its work.</w:t>
      </w:r>
    </w:p>
    <w:p w14:paraId="63F64378"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79874083"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No decisions have been made by the Independent Committee with respect to the Company’s response to the proposed transaction. There can be no assurance that any definitive offer will be made, that any agreement will be executed or that this or any other transaction will be approved or consummated. The Independent Committee is continuing its evaluation of the Proposed Transaction. The Company does not undertake any obligation to provide any updates with respect to the Proposed Transaction or any other transaction, except as required under applicable law.</w:t>
      </w:r>
    </w:p>
    <w:p w14:paraId="54C2CD56"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b/>
          <w:bCs/>
          <w:sz w:val="20"/>
          <w:szCs w:val="20"/>
        </w:rPr>
        <w:t> </w:t>
      </w:r>
    </w:p>
    <w:p w14:paraId="504C3DE0"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b/>
          <w:bCs/>
          <w:sz w:val="20"/>
          <w:szCs w:val="20"/>
        </w:rPr>
        <w:t>ABOUT NEWATER TECHNOLOGY INC</w:t>
      </w:r>
    </w:p>
    <w:p w14:paraId="17EE87DB"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34DE88FE"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xml:space="preserve">Founded in 2012 and headquartered in Yantai, China, </w:t>
      </w:r>
      <w:proofErr w:type="spellStart"/>
      <w:r w:rsidRPr="006554A6">
        <w:rPr>
          <w:rFonts w:ascii="Times New Roman" w:eastAsia="Times New Roman" w:hAnsi="Times New Roman" w:cs="Times New Roman"/>
          <w:sz w:val="20"/>
          <w:szCs w:val="20"/>
        </w:rPr>
        <w:t>Newater</w:t>
      </w:r>
      <w:proofErr w:type="spellEnd"/>
      <w:r w:rsidRPr="006554A6">
        <w:rPr>
          <w:rFonts w:ascii="Times New Roman" w:eastAsia="Times New Roman" w:hAnsi="Times New Roman" w:cs="Times New Roman"/>
          <w:sz w:val="20"/>
          <w:szCs w:val="20"/>
        </w:rPr>
        <w:t xml:space="preserve">, operating its business through its wholly owned subsidiary Yantai </w:t>
      </w:r>
      <w:proofErr w:type="spellStart"/>
      <w:r w:rsidRPr="006554A6">
        <w:rPr>
          <w:rFonts w:ascii="Times New Roman" w:eastAsia="Times New Roman" w:hAnsi="Times New Roman" w:cs="Times New Roman"/>
          <w:sz w:val="20"/>
          <w:szCs w:val="20"/>
        </w:rPr>
        <w:t>Jinzheng</w:t>
      </w:r>
      <w:proofErr w:type="spellEnd"/>
      <w:r w:rsidRPr="006554A6">
        <w:rPr>
          <w:rFonts w:ascii="Times New Roman" w:eastAsia="Times New Roman" w:hAnsi="Times New Roman" w:cs="Times New Roman"/>
          <w:sz w:val="20"/>
          <w:szCs w:val="20"/>
        </w:rPr>
        <w:t xml:space="preserve"> Eco-Technology Co. Ltd., specializes in the development, manufacture and sale of DTRO (Disk Tube Reverse Osmosis) and DTNF (Disk Tube Nano-Filtration) membranes for waste water treatment, recycling and discharge. </w:t>
      </w:r>
      <w:proofErr w:type="spellStart"/>
      <w:r w:rsidRPr="006554A6">
        <w:rPr>
          <w:rFonts w:ascii="Times New Roman" w:eastAsia="Times New Roman" w:hAnsi="Times New Roman" w:cs="Times New Roman"/>
          <w:sz w:val="20"/>
          <w:szCs w:val="20"/>
        </w:rPr>
        <w:t>Newater</w:t>
      </w:r>
      <w:proofErr w:type="spellEnd"/>
      <w:r w:rsidRPr="006554A6">
        <w:rPr>
          <w:rFonts w:ascii="Times New Roman" w:eastAsia="Times New Roman" w:hAnsi="Times New Roman" w:cs="Times New Roman"/>
          <w:sz w:val="20"/>
          <w:szCs w:val="20"/>
        </w:rPr>
        <w:t xml:space="preserve"> provides integrated technical solutions in engineering support and installation, technical advice and water purification services, and other project-related solutions to turn wastewater into valuable clean water. More information about the Company can be found at www.dtNEWA.com.</w:t>
      </w:r>
    </w:p>
    <w:p w14:paraId="583A4719"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4EC66738"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The Company’s core business includes:</w:t>
      </w:r>
    </w:p>
    <w:p w14:paraId="2C72A0B8"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6554A6" w:rsidRPr="006554A6" w14:paraId="79A4DA9A" w14:textId="77777777" w:rsidTr="006554A6">
        <w:trPr>
          <w:tblCellSpacing w:w="0" w:type="dxa"/>
        </w:trPr>
        <w:tc>
          <w:tcPr>
            <w:tcW w:w="360" w:type="dxa"/>
            <w:hideMark/>
          </w:tcPr>
          <w:p w14:paraId="448C705C"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w:t>
            </w:r>
          </w:p>
        </w:tc>
        <w:tc>
          <w:tcPr>
            <w:tcW w:w="0" w:type="auto"/>
            <w:hideMark/>
          </w:tcPr>
          <w:p w14:paraId="5ABF5821"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xml:space="preserve">Reuse of </w:t>
            </w:r>
            <w:proofErr w:type="gramStart"/>
            <w:r w:rsidRPr="006554A6">
              <w:rPr>
                <w:rFonts w:ascii="Times New Roman" w:eastAsia="Times New Roman" w:hAnsi="Times New Roman" w:cs="Times New Roman"/>
                <w:sz w:val="20"/>
                <w:szCs w:val="20"/>
              </w:rPr>
              <w:t>high quality</w:t>
            </w:r>
            <w:proofErr w:type="gramEnd"/>
            <w:r w:rsidRPr="006554A6">
              <w:rPr>
                <w:rFonts w:ascii="Times New Roman" w:eastAsia="Times New Roman" w:hAnsi="Times New Roman" w:cs="Times New Roman"/>
                <w:sz w:val="20"/>
                <w:szCs w:val="20"/>
              </w:rPr>
              <w:t xml:space="preserve"> reclaimed water;</w:t>
            </w:r>
          </w:p>
        </w:tc>
      </w:tr>
    </w:tbl>
    <w:p w14:paraId="4463465F"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6554A6" w:rsidRPr="006554A6" w14:paraId="3AAF0EBC" w14:textId="77777777" w:rsidTr="006554A6">
        <w:trPr>
          <w:tblCellSpacing w:w="0" w:type="dxa"/>
        </w:trPr>
        <w:tc>
          <w:tcPr>
            <w:tcW w:w="360" w:type="dxa"/>
            <w:hideMark/>
          </w:tcPr>
          <w:p w14:paraId="2F8F913D"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w:t>
            </w:r>
          </w:p>
        </w:tc>
        <w:tc>
          <w:tcPr>
            <w:tcW w:w="0" w:type="auto"/>
            <w:hideMark/>
          </w:tcPr>
          <w:p w14:paraId="31C3AC20"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High-salt and high-polluting wastewater treatment and near zero-liquid discharge;</w:t>
            </w:r>
          </w:p>
        </w:tc>
      </w:tr>
    </w:tbl>
    <w:p w14:paraId="68D5043B"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6554A6" w:rsidRPr="006554A6" w14:paraId="19132F9B" w14:textId="77777777" w:rsidTr="006554A6">
        <w:trPr>
          <w:tblCellSpacing w:w="0" w:type="dxa"/>
        </w:trPr>
        <w:tc>
          <w:tcPr>
            <w:tcW w:w="360" w:type="dxa"/>
            <w:hideMark/>
          </w:tcPr>
          <w:p w14:paraId="4F1045A4"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w:t>
            </w:r>
          </w:p>
        </w:tc>
        <w:tc>
          <w:tcPr>
            <w:tcW w:w="0" w:type="auto"/>
            <w:hideMark/>
          </w:tcPr>
          <w:p w14:paraId="3E4C883C"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Highly efficient treatment of Landfill leachate; and</w:t>
            </w:r>
          </w:p>
        </w:tc>
      </w:tr>
    </w:tbl>
    <w:p w14:paraId="1015FD91"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6554A6" w:rsidRPr="006554A6" w14:paraId="5B11CECE" w14:textId="77777777" w:rsidTr="006554A6">
        <w:trPr>
          <w:tblCellSpacing w:w="0" w:type="dxa"/>
        </w:trPr>
        <w:tc>
          <w:tcPr>
            <w:tcW w:w="360" w:type="dxa"/>
            <w:hideMark/>
          </w:tcPr>
          <w:p w14:paraId="36AD5641"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w:t>
            </w:r>
          </w:p>
        </w:tc>
        <w:tc>
          <w:tcPr>
            <w:tcW w:w="0" w:type="auto"/>
            <w:hideMark/>
          </w:tcPr>
          <w:p w14:paraId="32D2C665"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Utilization of acid or alkali-containing wastewater as resources</w:t>
            </w:r>
          </w:p>
        </w:tc>
      </w:tr>
    </w:tbl>
    <w:p w14:paraId="5537A4ED"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52BF0E1C"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More information about the Company can be found at: www.dtNEWA.com</w:t>
      </w:r>
    </w:p>
    <w:p w14:paraId="068D253D"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6FDA3933" w14:textId="77777777" w:rsidR="006554A6" w:rsidRPr="006554A6" w:rsidRDefault="006554A6" w:rsidP="006554A6">
      <w:pPr>
        <w:spacing w:after="12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21D14188" w14:textId="77777777" w:rsidR="006554A6" w:rsidRPr="006554A6" w:rsidRDefault="006554A6" w:rsidP="006554A6">
      <w:pPr>
        <w:pageBreakBefore/>
        <w:spacing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73CBB660"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69207503"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b/>
          <w:bCs/>
          <w:sz w:val="20"/>
          <w:szCs w:val="20"/>
        </w:rPr>
        <w:t>FORWARD-LOOKING STATEMENTS</w:t>
      </w:r>
    </w:p>
    <w:p w14:paraId="1D35E2E9"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374ED0EC"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xml:space="preserve">This press release contains forward-looking statements as defined by the Private Securities Litigation Reform Act of 1995. Forward-looking statements include statements concerning plans, objectives, goals, strategies, future events or performance, and underlying assumptions and other statements that are other than statements of historical facts. When the Company uses words such as “may”, “will”, “intend”, “should”, “believe”, “expect”, “anticipate”, “project”, “estimate” or similar expressions that do not relate solely to historical matters, it is making forward-looking statements. Specifically, the Company’s statements regarding the Acquisition are forward-looking statements. Forward-looking statements are not </w:t>
      </w:r>
      <w:proofErr w:type="gramStart"/>
      <w:r w:rsidRPr="006554A6">
        <w:rPr>
          <w:rFonts w:ascii="Times New Roman" w:eastAsia="Times New Roman" w:hAnsi="Times New Roman" w:cs="Times New Roman"/>
          <w:sz w:val="20"/>
          <w:szCs w:val="20"/>
        </w:rPr>
        <w:t>guarantees</w:t>
      </w:r>
      <w:proofErr w:type="gramEnd"/>
      <w:r w:rsidRPr="006554A6">
        <w:rPr>
          <w:rFonts w:ascii="Times New Roman" w:eastAsia="Times New Roman" w:hAnsi="Times New Roman" w:cs="Times New Roman"/>
          <w:sz w:val="20"/>
          <w:szCs w:val="20"/>
        </w:rPr>
        <w:t xml:space="preserve"> of future performance and involve risks and uncertainties that may cause the actual results to differ materially from the Company’s expectations discussed in the forward-looking statements. These statements are subject to uncertainties and risks including, but not limited to, the following: the Company’s goals and strategies; the Company’s future business development; product and service demand and acceptance; changes in technology; economic conditions; the growth of the water filtration industry in China; reputation and brand; the impact of competition and pricing; government regulations; fluctuations in general economic and business conditions in China and assumptions underlying or related to any of the foregoing and other risks contained in reports filed by the Company with the Securities and Exchange Commission. For these reasons, among others, investors are cautioned not to place undue reliance upon any forward-looking statements in this press release. Additional factors are discussed in the Company’s filings with the U.S. Securities and Exchange Commission, which are available for review at www.sec.gov. The Company undertakes no obligation to publicly revise these forward-looking statements to reflect events or circumstances that arise after the date hereof.</w:t>
      </w:r>
    </w:p>
    <w:p w14:paraId="65B1C420"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b/>
          <w:bCs/>
          <w:sz w:val="20"/>
          <w:szCs w:val="20"/>
        </w:rPr>
        <w:t> </w:t>
      </w:r>
    </w:p>
    <w:p w14:paraId="6FBDEA05"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b/>
          <w:bCs/>
          <w:sz w:val="20"/>
          <w:szCs w:val="20"/>
        </w:rPr>
        <w:t>For more information, please contact:</w:t>
      </w:r>
    </w:p>
    <w:p w14:paraId="63C7BF52"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b/>
          <w:bCs/>
          <w:sz w:val="20"/>
          <w:szCs w:val="20"/>
        </w:rPr>
        <w:t> </w:t>
      </w:r>
    </w:p>
    <w:tbl>
      <w:tblPr>
        <w:tblW w:w="5000" w:type="pct"/>
        <w:tblCellMar>
          <w:left w:w="0" w:type="dxa"/>
          <w:right w:w="0" w:type="dxa"/>
        </w:tblCellMar>
        <w:tblLook w:val="04A0" w:firstRow="1" w:lastRow="0" w:firstColumn="1" w:lastColumn="0" w:noHBand="0" w:noVBand="1"/>
      </w:tblPr>
      <w:tblGrid>
        <w:gridCol w:w="4680"/>
        <w:gridCol w:w="4680"/>
      </w:tblGrid>
      <w:tr w:rsidR="006554A6" w:rsidRPr="006554A6" w14:paraId="76521049" w14:textId="77777777" w:rsidTr="006554A6">
        <w:tc>
          <w:tcPr>
            <w:tcW w:w="2500" w:type="pct"/>
            <w:hideMark/>
          </w:tcPr>
          <w:p w14:paraId="01039039"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Company</w:t>
            </w:r>
          </w:p>
        </w:tc>
        <w:tc>
          <w:tcPr>
            <w:tcW w:w="2500" w:type="pct"/>
            <w:hideMark/>
          </w:tcPr>
          <w:p w14:paraId="00C08F9C"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Investor Relations</w:t>
            </w:r>
          </w:p>
        </w:tc>
      </w:tr>
      <w:tr w:rsidR="006554A6" w:rsidRPr="006554A6" w14:paraId="05765684" w14:textId="77777777" w:rsidTr="006554A6">
        <w:tc>
          <w:tcPr>
            <w:tcW w:w="0" w:type="auto"/>
            <w:hideMark/>
          </w:tcPr>
          <w:p w14:paraId="4547CA33"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6E24D3A0"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Ning Liu   Senior Manager</w:t>
            </w:r>
          </w:p>
          <w:p w14:paraId="15D79DCF"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0BCDCB45"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NEWATER TECHNOLOGY INC.</w:t>
            </w:r>
          </w:p>
          <w:p w14:paraId="70FBCAF7"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06A648B7"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Phone:   +86 (535) 8012999</w:t>
            </w:r>
          </w:p>
          <w:p w14:paraId="34404602" w14:textId="77777777" w:rsidR="006554A6" w:rsidRPr="006554A6" w:rsidRDefault="006554A6" w:rsidP="006554A6">
            <w:pPr>
              <w:spacing w:after="0" w:line="240" w:lineRule="auto"/>
              <w:ind w:firstLine="691"/>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+86 15063837878</w:t>
            </w:r>
          </w:p>
          <w:p w14:paraId="20CA970A"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17112C15"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Email: office@dtnewa.com</w:t>
            </w:r>
          </w:p>
        </w:tc>
        <w:tc>
          <w:tcPr>
            <w:tcW w:w="0" w:type="auto"/>
            <w:hideMark/>
          </w:tcPr>
          <w:p w14:paraId="08D4E61E"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6A8CC11F"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Fan Wang   IR Director</w:t>
            </w:r>
          </w:p>
          <w:p w14:paraId="34D9B341"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1EBE9B28"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MMTEC, INC.</w:t>
            </w:r>
          </w:p>
          <w:p w14:paraId="11531F82"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3CEC66C3"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Phone: +86 13681276957</w:t>
            </w:r>
          </w:p>
          <w:p w14:paraId="542F2AF1"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308F532B"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Email: wangfan@xgujia.com</w:t>
            </w:r>
          </w:p>
        </w:tc>
      </w:tr>
    </w:tbl>
    <w:p w14:paraId="27E1BAC8" w14:textId="77777777" w:rsidR="006554A6" w:rsidRPr="006554A6" w:rsidRDefault="006554A6" w:rsidP="006554A6">
      <w:pPr>
        <w:spacing w:after="0" w:line="240" w:lineRule="auto"/>
        <w:jc w:val="both"/>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19C7404F"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0BFACC47" w14:textId="77777777" w:rsidR="006554A6" w:rsidRPr="006554A6" w:rsidRDefault="006554A6" w:rsidP="006554A6">
      <w:pPr>
        <w:spacing w:after="0" w:line="240" w:lineRule="auto"/>
        <w:rPr>
          <w:rFonts w:ascii="Times New Roman" w:eastAsia="Times New Roman" w:hAnsi="Times New Roman" w:cs="Times New Roman"/>
          <w:sz w:val="20"/>
          <w:szCs w:val="20"/>
        </w:rPr>
      </w:pPr>
      <w:r w:rsidRPr="006554A6">
        <w:rPr>
          <w:rFonts w:ascii="Times New Roman" w:eastAsia="Times New Roman" w:hAnsi="Times New Roman" w:cs="Times New Roman"/>
          <w:sz w:val="20"/>
          <w:szCs w:val="20"/>
        </w:rPr>
        <w:t> </w:t>
      </w:r>
    </w:p>
    <w:p w14:paraId="2F7B6E66" w14:textId="77777777" w:rsidR="006554A6" w:rsidRPr="006554A6" w:rsidRDefault="006554A6" w:rsidP="006554A6">
      <w:pPr>
        <w:spacing w:after="0" w:line="240" w:lineRule="auto"/>
        <w:rPr>
          <w:rFonts w:ascii="Times New Roman" w:eastAsia="Times New Roman" w:hAnsi="Times New Roman" w:cs="Times New Roman"/>
          <w:sz w:val="2"/>
          <w:szCs w:val="2"/>
        </w:rPr>
      </w:pPr>
      <w:r w:rsidRPr="006554A6">
        <w:rPr>
          <w:rFonts w:ascii="Times New Roman" w:eastAsia="Times New Roman" w:hAnsi="Times New Roman" w:cs="Times New Roman"/>
          <w:sz w:val="2"/>
          <w:szCs w:val="2"/>
        </w:rPr>
        <w:t> </w:t>
      </w:r>
    </w:p>
    <w:p w14:paraId="0719BC8C" w14:textId="77777777" w:rsidR="00352022" w:rsidRDefault="00352022"/>
    <w:sectPr w:rsidR="0035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D2F"/>
    <w:rsid w:val="00257794"/>
    <w:rsid w:val="00352022"/>
    <w:rsid w:val="003B3B4D"/>
    <w:rsid w:val="00624D2F"/>
    <w:rsid w:val="0065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C0925-AEEE-4184-BD39-8FCCD296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4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5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877720">
      <w:bodyDiv w:val="1"/>
      <w:marLeft w:val="0"/>
      <w:marRight w:val="0"/>
      <w:marTop w:val="0"/>
      <w:marBottom w:val="0"/>
      <w:divBdr>
        <w:top w:val="none" w:sz="0" w:space="0" w:color="auto"/>
        <w:left w:val="none" w:sz="0" w:space="0" w:color="auto"/>
        <w:bottom w:val="none" w:sz="0" w:space="0" w:color="auto"/>
        <w:right w:val="none" w:sz="0" w:space="0" w:color="auto"/>
      </w:divBdr>
      <w:divsChild>
        <w:div w:id="1959414645">
          <w:marLeft w:val="0"/>
          <w:marRight w:val="0"/>
          <w:marTop w:val="0"/>
          <w:marBottom w:val="0"/>
          <w:divBdr>
            <w:top w:val="none" w:sz="0" w:space="0" w:color="auto"/>
            <w:left w:val="none" w:sz="0" w:space="0" w:color="auto"/>
            <w:bottom w:val="none" w:sz="0" w:space="0" w:color="auto"/>
            <w:right w:val="none" w:sz="0" w:space="0" w:color="auto"/>
          </w:divBdr>
          <w:divsChild>
            <w:div w:id="600334746">
              <w:marLeft w:val="0"/>
              <w:marRight w:val="0"/>
              <w:marTop w:val="0"/>
              <w:marBottom w:val="0"/>
              <w:divBdr>
                <w:top w:val="none" w:sz="0" w:space="0" w:color="auto"/>
                <w:left w:val="none" w:sz="0" w:space="0" w:color="auto"/>
                <w:bottom w:val="none" w:sz="0" w:space="0" w:color="auto"/>
                <w:right w:val="none" w:sz="0" w:space="0" w:color="auto"/>
              </w:divBdr>
              <w:divsChild>
                <w:div w:id="1947616198">
                  <w:marLeft w:val="0"/>
                  <w:marRight w:val="0"/>
                  <w:marTop w:val="0"/>
                  <w:marBottom w:val="0"/>
                  <w:divBdr>
                    <w:top w:val="single" w:sz="18" w:space="0" w:color="000000"/>
                    <w:left w:val="none" w:sz="0" w:space="0" w:color="auto"/>
                    <w:bottom w:val="single" w:sz="8" w:space="0" w:color="000000"/>
                    <w:right w:val="none" w:sz="0" w:space="0" w:color="auto"/>
                  </w:divBdr>
                </w:div>
              </w:divsChild>
            </w:div>
            <w:div w:id="15274109">
              <w:marLeft w:val="0"/>
              <w:marRight w:val="0"/>
              <w:marTop w:val="0"/>
              <w:marBottom w:val="0"/>
              <w:divBdr>
                <w:top w:val="none" w:sz="0" w:space="0" w:color="auto"/>
                <w:left w:val="none" w:sz="0" w:space="0" w:color="auto"/>
                <w:bottom w:val="none" w:sz="0" w:space="0" w:color="auto"/>
                <w:right w:val="none" w:sz="0" w:space="0" w:color="auto"/>
              </w:divBdr>
              <w:divsChild>
                <w:div w:id="2120562582">
                  <w:marLeft w:val="0"/>
                  <w:marRight w:val="0"/>
                  <w:marTop w:val="0"/>
                  <w:marBottom w:val="0"/>
                  <w:divBdr>
                    <w:top w:val="single" w:sz="12" w:space="0" w:color="000000"/>
                    <w:left w:val="none" w:sz="0" w:space="0" w:color="auto"/>
                    <w:bottom w:val="none" w:sz="0" w:space="0" w:color="auto"/>
                    <w:right w:val="none" w:sz="0" w:space="0" w:color="auto"/>
                  </w:divBdr>
                </w:div>
              </w:divsChild>
            </w:div>
            <w:div w:id="30545692">
              <w:marLeft w:val="0"/>
              <w:marRight w:val="0"/>
              <w:marTop w:val="0"/>
              <w:marBottom w:val="0"/>
              <w:divBdr>
                <w:top w:val="none" w:sz="0" w:space="0" w:color="auto"/>
                <w:left w:val="none" w:sz="0" w:space="0" w:color="auto"/>
                <w:bottom w:val="none" w:sz="0" w:space="0" w:color="auto"/>
                <w:right w:val="none" w:sz="0" w:space="0" w:color="auto"/>
              </w:divBdr>
              <w:divsChild>
                <w:div w:id="684209890">
                  <w:marLeft w:val="0"/>
                  <w:marRight w:val="0"/>
                  <w:marTop w:val="0"/>
                  <w:marBottom w:val="0"/>
                  <w:divBdr>
                    <w:top w:val="single" w:sz="12" w:space="0" w:color="000000"/>
                    <w:left w:val="none" w:sz="0" w:space="0" w:color="auto"/>
                    <w:bottom w:val="none" w:sz="0" w:space="0" w:color="auto"/>
                    <w:right w:val="none" w:sz="0" w:space="0" w:color="auto"/>
                  </w:divBdr>
                </w:div>
              </w:divsChild>
            </w:div>
            <w:div w:id="1123429130">
              <w:marLeft w:val="0"/>
              <w:marRight w:val="0"/>
              <w:marTop w:val="0"/>
              <w:marBottom w:val="0"/>
              <w:divBdr>
                <w:top w:val="none" w:sz="0" w:space="0" w:color="auto"/>
                <w:left w:val="none" w:sz="0" w:space="0" w:color="auto"/>
                <w:bottom w:val="none" w:sz="0" w:space="0" w:color="auto"/>
                <w:right w:val="none" w:sz="0" w:space="0" w:color="auto"/>
              </w:divBdr>
              <w:divsChild>
                <w:div w:id="412048239">
                  <w:marLeft w:val="0"/>
                  <w:marRight w:val="0"/>
                  <w:marTop w:val="0"/>
                  <w:marBottom w:val="0"/>
                  <w:divBdr>
                    <w:top w:val="single" w:sz="8" w:space="0" w:color="000000"/>
                    <w:left w:val="none" w:sz="0" w:space="0" w:color="auto"/>
                    <w:bottom w:val="single" w:sz="18" w:space="0" w:color="000000"/>
                    <w:right w:val="none" w:sz="0" w:space="0" w:color="auto"/>
                  </w:divBdr>
                </w:div>
              </w:divsChild>
            </w:div>
            <w:div w:id="703333608">
              <w:marLeft w:val="0"/>
              <w:marRight w:val="0"/>
              <w:marTop w:val="240"/>
              <w:marBottom w:val="120"/>
              <w:divBdr>
                <w:top w:val="none" w:sz="0" w:space="0" w:color="auto"/>
                <w:left w:val="none" w:sz="0" w:space="0" w:color="auto"/>
                <w:bottom w:val="single" w:sz="12" w:space="0" w:color="000000"/>
                <w:right w:val="none" w:sz="0" w:space="0" w:color="auto"/>
              </w:divBdr>
            </w:div>
            <w:div w:id="1313675173">
              <w:marLeft w:val="0"/>
              <w:marRight w:val="0"/>
              <w:marTop w:val="120"/>
              <w:marBottom w:val="240"/>
              <w:divBdr>
                <w:top w:val="none" w:sz="0" w:space="0" w:color="auto"/>
                <w:left w:val="none" w:sz="0" w:space="0" w:color="auto"/>
                <w:bottom w:val="none" w:sz="0" w:space="0" w:color="auto"/>
                <w:right w:val="none" w:sz="0" w:space="0" w:color="auto"/>
              </w:divBdr>
            </w:div>
            <w:div w:id="290213496">
              <w:marLeft w:val="0"/>
              <w:marRight w:val="0"/>
              <w:marTop w:val="240"/>
              <w:marBottom w:val="120"/>
              <w:divBdr>
                <w:top w:val="none" w:sz="0" w:space="0" w:color="auto"/>
                <w:left w:val="none" w:sz="0" w:space="0" w:color="auto"/>
                <w:bottom w:val="single" w:sz="12" w:space="0" w:color="000000"/>
                <w:right w:val="none" w:sz="0" w:space="0" w:color="auto"/>
              </w:divBdr>
            </w:div>
            <w:div w:id="2106921464">
              <w:marLeft w:val="0"/>
              <w:marRight w:val="0"/>
              <w:marTop w:val="120"/>
              <w:marBottom w:val="240"/>
              <w:divBdr>
                <w:top w:val="none" w:sz="0" w:space="0" w:color="auto"/>
                <w:left w:val="none" w:sz="0" w:space="0" w:color="auto"/>
                <w:bottom w:val="none" w:sz="0" w:space="0" w:color="auto"/>
                <w:right w:val="none" w:sz="0" w:space="0" w:color="auto"/>
              </w:divBdr>
            </w:div>
            <w:div w:id="1919438489">
              <w:marLeft w:val="0"/>
              <w:marRight w:val="0"/>
              <w:marTop w:val="0"/>
              <w:marBottom w:val="0"/>
              <w:divBdr>
                <w:top w:val="none" w:sz="0" w:space="0" w:color="auto"/>
                <w:left w:val="none" w:sz="0" w:space="0" w:color="auto"/>
                <w:bottom w:val="none" w:sz="0" w:space="0" w:color="auto"/>
                <w:right w:val="none" w:sz="0" w:space="0" w:color="auto"/>
              </w:divBdr>
              <w:divsChild>
                <w:div w:id="2103794157">
                  <w:marLeft w:val="0"/>
                  <w:marRight w:val="0"/>
                  <w:marTop w:val="0"/>
                  <w:marBottom w:val="0"/>
                  <w:divBdr>
                    <w:top w:val="single" w:sz="12" w:space="0" w:color="000000"/>
                    <w:left w:val="none" w:sz="0" w:space="0" w:color="auto"/>
                    <w:bottom w:val="none" w:sz="0" w:space="0" w:color="auto"/>
                    <w:right w:val="none" w:sz="0" w:space="0" w:color="auto"/>
                  </w:divBdr>
                </w:div>
              </w:divsChild>
            </w:div>
          </w:divsChild>
        </w:div>
        <w:div w:id="1445422552">
          <w:marLeft w:val="0"/>
          <w:marRight w:val="0"/>
          <w:marTop w:val="0"/>
          <w:marBottom w:val="0"/>
          <w:divBdr>
            <w:top w:val="none" w:sz="0" w:space="0" w:color="auto"/>
            <w:left w:val="none" w:sz="0" w:space="0" w:color="auto"/>
            <w:bottom w:val="none" w:sz="0" w:space="0" w:color="auto"/>
            <w:right w:val="none" w:sz="0" w:space="0" w:color="auto"/>
          </w:divBdr>
          <w:divsChild>
            <w:div w:id="807476961">
              <w:marLeft w:val="0"/>
              <w:marRight w:val="0"/>
              <w:marTop w:val="240"/>
              <w:marBottom w:val="120"/>
              <w:divBdr>
                <w:top w:val="none" w:sz="0" w:space="0" w:color="auto"/>
                <w:left w:val="none" w:sz="0" w:space="0" w:color="auto"/>
                <w:bottom w:val="single" w:sz="12" w:space="0" w:color="000000"/>
                <w:right w:val="none" w:sz="0" w:space="0" w:color="auto"/>
              </w:divBdr>
            </w:div>
            <w:div w:id="1104693180">
              <w:marLeft w:val="0"/>
              <w:marRight w:val="0"/>
              <w:marTop w:val="120"/>
              <w:marBottom w:val="240"/>
              <w:divBdr>
                <w:top w:val="none" w:sz="0" w:space="0" w:color="auto"/>
                <w:left w:val="none" w:sz="0" w:space="0" w:color="auto"/>
                <w:bottom w:val="none" w:sz="0" w:space="0" w:color="auto"/>
                <w:right w:val="none" w:sz="0" w:space="0" w:color="auto"/>
              </w:divBdr>
            </w:div>
            <w:div w:id="329061219">
              <w:marLeft w:val="0"/>
              <w:marRight w:val="0"/>
              <w:marTop w:val="0"/>
              <w:marBottom w:val="0"/>
              <w:divBdr>
                <w:top w:val="none" w:sz="0" w:space="0" w:color="auto"/>
                <w:left w:val="none" w:sz="0" w:space="0" w:color="auto"/>
                <w:bottom w:val="none" w:sz="0" w:space="0" w:color="auto"/>
                <w:right w:val="none" w:sz="0" w:space="0" w:color="auto"/>
              </w:divBdr>
              <w:divsChild>
                <w:div w:id="2112623688">
                  <w:marLeft w:val="0"/>
                  <w:marRight w:val="0"/>
                  <w:marTop w:val="0"/>
                  <w:marBottom w:val="0"/>
                  <w:divBdr>
                    <w:top w:val="single" w:sz="12" w:space="0" w:color="000000"/>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N:\EDGAR%20FILES\1-PreSub\ea122632\ea122632ex99-1_newaterte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1013</Words>
  <Characters>5779</Characters>
  <Application>Microsoft Office Word</Application>
  <DocSecurity>0</DocSecurity>
  <Lines>48</Lines>
  <Paragraphs>13</Paragraphs>
  <ScaleCrop>false</ScaleCrop>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ieagent6</dc:creator>
  <cp:keywords/>
  <dc:description/>
  <cp:lastModifiedBy>ieagent6</cp:lastModifiedBy>
  <cp:revision>2</cp:revision>
  <dcterms:created xsi:type="dcterms:W3CDTF">2020-06-03T12:52:00Z</dcterms:created>
  <dcterms:modified xsi:type="dcterms:W3CDTF">2020-06-03T12:52:00Z</dcterms:modified>
</cp:coreProperties>
</file>